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DF" w:rsidRDefault="009E37DF" w:rsidP="009E37D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D1C45">
        <w:rPr>
          <w:b/>
          <w:color w:val="000000"/>
          <w:sz w:val="28"/>
          <w:szCs w:val="28"/>
        </w:rPr>
        <w:t>Доходность за 2014 всех управляющих компаний, которые управляют средствами пенсионных накоплений, ниже инфляции</w:t>
      </w:r>
      <w:r>
        <w:rPr>
          <w:b/>
          <w:color w:val="000000"/>
          <w:sz w:val="28"/>
          <w:szCs w:val="28"/>
        </w:rPr>
        <w:t>;</w:t>
      </w:r>
    </w:p>
    <w:p w:rsidR="009E37DF" w:rsidRDefault="009E37DF" w:rsidP="009E37D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D1C45">
        <w:rPr>
          <w:b/>
          <w:color w:val="000000"/>
          <w:sz w:val="28"/>
          <w:szCs w:val="28"/>
        </w:rPr>
        <w:t>12 управляющих компаний показали убытки</w:t>
      </w:r>
    </w:p>
    <w:p w:rsid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lang w:val="en-US"/>
        </w:rPr>
      </w:pPr>
    </w:p>
    <w:p w:rsid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lang w:val="en-US"/>
        </w:rPr>
      </w:pP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Доходность пенсионных накоплений за 2014 всех управляющих компаний, которые управляют средствами пенсионных накоплений по обязательному пенсионному страхованию, ниже инфляции.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34 частные управляющие компании (ЧУК), с которыми у ПФР заключены договоры доверительного управления, по итогам 2014 года показали среднюю доходность всего 0,94%.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 xml:space="preserve">12 управляющих компаний, включая государственную управляющую компанию «Внешэкономбанк» (по портфелю госбумаг), показали убытки. Максимальная доходность (УК «Финнам </w:t>
      </w:r>
      <w:proofErr w:type="gramStart"/>
      <w:r w:rsidRPr="009E37DF">
        <w:rPr>
          <w:color w:val="000000"/>
          <w:sz w:val="28"/>
          <w:szCs w:val="28"/>
        </w:rPr>
        <w:t>менеджмент») не достигла</w:t>
      </w:r>
      <w:proofErr w:type="gramEnd"/>
      <w:r w:rsidRPr="009E37DF">
        <w:rPr>
          <w:color w:val="000000"/>
          <w:sz w:val="28"/>
          <w:szCs w:val="28"/>
        </w:rPr>
        <w:t xml:space="preserve"> 7,5%. Инфляция в 2014 году – 11,4%.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 xml:space="preserve">Доходность пенсионных накоплений по расширенному инвестиционному портфелю государственной управляющей компании «Внешэкономбанк» составила всего 2,68%. 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Сегодня в управляющих компаниях находятся пенсионные накопления граждан, сформированные за период до конца первого полугодия 2013 года. В 2014 и 2015 годах все страховые взносы по ОПС направляются на формирование только страховой пенсии. При этом страховые пенсии и пенсионные права граждан, которые еще не являются пенсионерами, с 1 февраля 2015 года увеличены на 11,4%, что защитило их от влияния инфляции.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 xml:space="preserve">Доходность пенсионных накоплений ниже уровня инфляции говорит об их обесценивании, а отрицательная доходность означает убытки, то есть уменьшение сумм пенсионных накоплений на счетах граждан. 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По закону, в случае получения убытков, система сохранности пенсионных накоплений гарантирует гражданам выплату только суммы страховых взносов, поступивших в Пенсионный фонд России на формирование накопительной пенсии.</w:t>
      </w:r>
    </w:p>
    <w:p w:rsidR="009E37DF" w:rsidRP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9E37DF">
        <w:rPr>
          <w:color w:val="000000"/>
          <w:sz w:val="28"/>
          <w:szCs w:val="28"/>
        </w:rPr>
        <w:t>У граждан 1967 года рождения и моложе есть право отказаться от дальнейшего формирования накопительной пенсии за счет страховых взносов работодателей по ОПС и формировать только страховую пенсию, защита которой от инфляции гарантируется государством.</w:t>
      </w:r>
    </w:p>
    <w:p w:rsidR="009E37DF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</w:p>
    <w:p w:rsidR="009E37DF" w:rsidRDefault="009E37DF" w:rsidP="009E37DF">
      <w:pPr>
        <w:autoSpaceDE w:val="0"/>
        <w:autoSpaceDN w:val="0"/>
        <w:adjustRightInd w:val="0"/>
        <w:jc w:val="both"/>
        <w:rPr>
          <w:rFonts w:ascii="Tms Rmn" w:hAnsi="Tms Rmn"/>
        </w:rPr>
      </w:pPr>
    </w:p>
    <w:tbl>
      <w:tblPr>
        <w:tblW w:w="0" w:type="auto"/>
        <w:tblInd w:w="103" w:type="dxa"/>
        <w:tblLayout w:type="fixed"/>
        <w:tblLook w:val="00BF"/>
      </w:tblPr>
      <w:tblGrid>
        <w:gridCol w:w="3245"/>
        <w:gridCol w:w="2880"/>
        <w:gridCol w:w="3240"/>
      </w:tblGrid>
      <w:tr w:rsidR="009E37DF" w:rsidTr="003023B7">
        <w:trPr>
          <w:trHeight w:val="1185"/>
        </w:trPr>
        <w:tc>
          <w:tcPr>
            <w:tcW w:w="3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Наименование управляющей компании</w:t>
            </w:r>
          </w:p>
        </w:tc>
        <w:tc>
          <w:tcPr>
            <w:tcW w:w="28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Наименование инвестиционного портфеля управляющей компании</w:t>
            </w:r>
          </w:p>
        </w:tc>
        <w:tc>
          <w:tcPr>
            <w:tcW w:w="32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Доходность инвестирования средств пенсионных накоплений за 2014 год,</w:t>
            </w:r>
          </w:p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% годовых</w:t>
            </w:r>
          </w:p>
        </w:tc>
      </w:tr>
      <w:tr w:rsidR="009E37DF" w:rsidTr="003023B7">
        <w:trPr>
          <w:trHeight w:val="207"/>
        </w:trPr>
        <w:tc>
          <w:tcPr>
            <w:tcW w:w="324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8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МОНОМАХ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-9,89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УМ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-3,68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АЛЬФА-КАПИТАЛ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-3,41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АГАНА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СБАЛАНСИРОВАННЫЙ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-2,74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БКС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ДОХОДНЫЙ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-2,39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ВЭБ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ГОСУДАРСТВЕННЫХ ЦЕННЫХ БУМАГ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-2,05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ТРИНФИКО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ДОЛГОСРОЧНОГО РОСТА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-1,54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АГАНА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КОНСЕРВАТИВНЫЙ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-1,41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АТОН-МЕНЕДЖМЕНТ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-0,68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ПАЛЛАДА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-0,60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СБЕРБАНК УПРАВЛЕНИЕ АКТИВАМИ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-0,53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УРАЛСИБ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-0,45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ВТБ КАПИТАЛ УПРАВЛЕНИЕ АКТИВАМИ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РЕГИОН ПОРТФЕЛЬНЫЕ ИНВЕСТИЦИИ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ТРИНФИКО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СБАЛАНСИРОВАННЫЙ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ТКБ БНП ПАРИБА ИНВЕСТМЕНТ ПАРТНЕРС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ТРИНФИКО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КОНСЕРВАТИВНОГО СОХРАНЕНИЯ КАПИТАЛА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БКС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СБАЛАНСИРОВАННЫЙ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АК БАРС КАПИТАЛ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РЕГИОН ЭСМ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ПРОМСВЯЗЬ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1,39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РФЦ-КАПИТАЛ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ВТБ КАПИТАЛ ПЕНСИОННЫЙ РЕЗЕРВ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ИНВЕСТ ОФГ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ПЕНСИОННАЯ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СБЕРЕГАТЕЛЬНАЯ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НАЦИОНАЛЬНАЯ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ЛИДЕР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ВЭБ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РАСШИРЕННЫЙ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КАПИТАЛЪ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БФА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2,83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БИН ФИНАМ ГРУПП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3,06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ОТКРЫТИЕ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СОЛИД МЕНЕДЖМЕНТ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3,92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ИНГОССТРАХ-ИНВЕСТИЦИИ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РЕГИОН ТРАСТ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4,00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МДМ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4,14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МЕТАЛЛИНВЕСТТРАСТ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4,37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АНАЛИТИЧЕСКИЙ ЦЕНТР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5,04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МЕТРОПОЛЬ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6,15</w:t>
            </w:r>
          </w:p>
        </w:tc>
      </w:tr>
      <w:tr w:rsidR="009E37DF" w:rsidTr="003023B7">
        <w:trPr>
          <w:trHeight w:val="1185"/>
        </w:trPr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ФИНАМ МЕНЕДЖМЕНТ УК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37DF" w:rsidRDefault="009E37DF" w:rsidP="003023B7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7,49</w:t>
            </w:r>
          </w:p>
        </w:tc>
      </w:tr>
    </w:tbl>
    <w:p w:rsidR="009E37DF" w:rsidRDefault="009E37DF" w:rsidP="009E37DF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:rsidR="009E37DF" w:rsidRPr="008D1C45" w:rsidRDefault="009E37DF" w:rsidP="009E37DF">
      <w:pPr>
        <w:autoSpaceDE w:val="0"/>
        <w:autoSpaceDN w:val="0"/>
        <w:adjustRightInd w:val="0"/>
        <w:spacing w:before="60" w:after="60"/>
        <w:ind w:firstLine="567"/>
        <w:jc w:val="both"/>
        <w:rPr>
          <w:i/>
          <w:color w:val="000000"/>
          <w:sz w:val="22"/>
          <w:szCs w:val="22"/>
        </w:rPr>
      </w:pPr>
    </w:p>
    <w:p w:rsidR="00146F77" w:rsidRDefault="00146F77"/>
    <w:sectPr w:rsidR="00146F77" w:rsidSect="00BB3C81">
      <w:headerReference w:type="default" r:id="rId4"/>
      <w:footerReference w:type="even" r:id="rId5"/>
      <w:footerReference w:type="default" r:id="rId6"/>
      <w:pgSz w:w="11906" w:h="16838" w:code="9"/>
      <w:pgMar w:top="2516" w:right="110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75212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75212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752125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752125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752125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E37DF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52125"/>
    <w:rsid w:val="007805A2"/>
    <w:rsid w:val="007A0136"/>
    <w:rsid w:val="007A15BD"/>
    <w:rsid w:val="007B7712"/>
    <w:rsid w:val="007F5778"/>
    <w:rsid w:val="00831166"/>
    <w:rsid w:val="0086255B"/>
    <w:rsid w:val="008D2035"/>
    <w:rsid w:val="008F7365"/>
    <w:rsid w:val="00977837"/>
    <w:rsid w:val="00987D8E"/>
    <w:rsid w:val="009B4C7A"/>
    <w:rsid w:val="009C116E"/>
    <w:rsid w:val="009C4A17"/>
    <w:rsid w:val="009D0DAF"/>
    <w:rsid w:val="009E37D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E37DF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37D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9E37D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E37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E37D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E37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9E37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2015-03-12T07:36:00Z</dcterms:created>
  <dcterms:modified xsi:type="dcterms:W3CDTF">2015-03-12T07:39:00Z</dcterms:modified>
</cp:coreProperties>
</file>