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333" w:rsidRPr="00BD0D82" w:rsidRDefault="00927333" w:rsidP="00927333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right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0D82">
        <w:rPr>
          <w:rFonts w:ascii="Times New Roman" w:eastAsia="Times New Roman" w:hAnsi="Times New Roman"/>
          <w:b/>
          <w:sz w:val="28"/>
          <w:szCs w:val="28"/>
          <w:lang w:eastAsia="ru-RU"/>
        </w:rPr>
        <w:t>РЕСПУБЛИКА МОРДОВИЯ</w:t>
      </w:r>
      <w:r w:rsidRPr="00BD0D8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</w:t>
      </w:r>
    </w:p>
    <w:p w:rsidR="00927333" w:rsidRPr="00BD0D82" w:rsidRDefault="00927333" w:rsidP="009273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0D8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АДМИНИСТРАЦИЯ </w:t>
      </w:r>
      <w:proofErr w:type="spellStart"/>
      <w:r w:rsidRPr="00BD0D82">
        <w:rPr>
          <w:rFonts w:ascii="Times New Roman" w:eastAsia="Times New Roman" w:hAnsi="Times New Roman"/>
          <w:b/>
          <w:sz w:val="28"/>
          <w:szCs w:val="28"/>
          <w:lang w:eastAsia="ru-RU"/>
        </w:rPr>
        <w:t>НОВОЧАДОВСКОГО</w:t>
      </w:r>
      <w:proofErr w:type="spellEnd"/>
      <w:r w:rsidRPr="00BD0D8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BD0D82">
        <w:rPr>
          <w:rFonts w:ascii="Times New Roman" w:eastAsia="Times New Roman" w:hAnsi="Times New Roman"/>
          <w:b/>
          <w:sz w:val="28"/>
          <w:szCs w:val="28"/>
          <w:lang w:eastAsia="ru-RU"/>
        </w:rPr>
        <w:t>АТЮРЬЕВСКОГО</w:t>
      </w:r>
      <w:proofErr w:type="spellEnd"/>
      <w:r w:rsidRPr="00BD0D8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</w:t>
      </w:r>
    </w:p>
    <w:p w:rsidR="00927333" w:rsidRPr="00BD0D82" w:rsidRDefault="00927333" w:rsidP="009273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27333" w:rsidRPr="00BD0D82" w:rsidRDefault="00927333" w:rsidP="009273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7333" w:rsidRPr="00BD0D82" w:rsidRDefault="00927333" w:rsidP="009273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D0D8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927333" w:rsidRPr="00BD0D82" w:rsidRDefault="00927333" w:rsidP="009273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27333" w:rsidRPr="00BD0D82" w:rsidRDefault="00927333" w:rsidP="009273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27333" w:rsidRPr="00BD0D82" w:rsidRDefault="00927333" w:rsidP="009273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 «25» августа 2026 года № 14</w:t>
      </w:r>
      <w:r w:rsidRPr="00BD0D8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927333" w:rsidRDefault="00927333" w:rsidP="00927333">
      <w:pPr>
        <w:pStyle w:val="a4"/>
        <w:shd w:val="clear" w:color="auto" w:fill="FFFFFF"/>
        <w:spacing w:before="0" w:beforeAutospacing="0" w:after="0" w:afterAutospacing="0" w:line="320" w:lineRule="atLeast"/>
        <w:jc w:val="center"/>
        <w:rPr>
          <w:b/>
          <w:bCs/>
          <w:color w:val="333333"/>
          <w:sz w:val="28"/>
          <w:szCs w:val="28"/>
        </w:rPr>
      </w:pP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 w:line="320" w:lineRule="atLeast"/>
        <w:jc w:val="center"/>
        <w:rPr>
          <w:sz w:val="28"/>
          <w:szCs w:val="28"/>
        </w:rPr>
      </w:pPr>
      <w:r w:rsidRPr="006635E4">
        <w:rPr>
          <w:b/>
          <w:bCs/>
          <w:sz w:val="28"/>
          <w:szCs w:val="28"/>
        </w:rPr>
        <w:t xml:space="preserve">ОБ УТВЕРЖДЕНИИ ПОРЯДКА ФОРМИРОВАНИЯ ПЕРЕЧНЯ НАЛОГОВЫХ РАСХОДОВ И ОЦЕНКИ НАЛОГОВЫХ РАСХОДОВ АДМИНИСТРАЦИИ </w:t>
      </w:r>
      <w:proofErr w:type="spellStart"/>
      <w:r w:rsidRPr="006635E4">
        <w:rPr>
          <w:b/>
          <w:bCs/>
          <w:sz w:val="28"/>
          <w:szCs w:val="28"/>
        </w:rPr>
        <w:t>НОВОЧАДОВСКОГО</w:t>
      </w:r>
      <w:proofErr w:type="spellEnd"/>
      <w:r w:rsidRPr="006635E4">
        <w:rPr>
          <w:b/>
          <w:bCs/>
          <w:sz w:val="28"/>
          <w:szCs w:val="28"/>
        </w:rPr>
        <w:t xml:space="preserve"> СЕЛЬСКОГО ПОСЕЛЕНИЯ</w:t>
      </w:r>
    </w:p>
    <w:p w:rsidR="00927333" w:rsidRDefault="00927333" w:rsidP="00927333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</w:rPr>
      </w:pPr>
      <w:r>
        <w:rPr>
          <w:rFonts w:ascii="Arial" w:hAnsi="Arial" w:cs="Arial"/>
          <w:color w:val="333333"/>
        </w:rPr>
        <w:t> </w:t>
      </w:r>
    </w:p>
    <w:p w:rsidR="00927333" w:rsidRDefault="00927333" w:rsidP="00927333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</w:rPr>
      </w:pPr>
      <w:r>
        <w:rPr>
          <w:rFonts w:ascii="Arial" w:hAnsi="Arial" w:cs="Arial"/>
          <w:color w:val="333333"/>
        </w:rPr>
        <w:t> </w:t>
      </w:r>
    </w:p>
    <w:p w:rsidR="00927333" w:rsidRPr="00385201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5201">
        <w:rPr>
          <w:sz w:val="28"/>
          <w:szCs w:val="28"/>
        </w:rPr>
        <w:t>В соответствии со статьей 174.3 </w:t>
      </w:r>
      <w:hyperlink r:id="rId4" w:tooltip="https://pravo-search.minjust.ru/bigs/showDocument.html?id=8F21B21C-A408-42C4-B9FE-A939B863C84A" w:history="1">
        <w:r w:rsidRPr="00385201">
          <w:rPr>
            <w:rStyle w:val="a3"/>
            <w:color w:val="auto"/>
            <w:sz w:val="28"/>
            <w:szCs w:val="28"/>
            <w:u w:val="none"/>
          </w:rPr>
          <w:t>Бюджетного кодекса</w:t>
        </w:r>
      </w:hyperlink>
      <w:r w:rsidRPr="00385201">
        <w:rPr>
          <w:sz w:val="28"/>
          <w:szCs w:val="28"/>
        </w:rPr>
        <w:t> Российской Федерации, Постановлением Правительства Российской Федерации от 22.06.2019 № 796 «</w:t>
      </w:r>
      <w:hyperlink r:id="rId5" w:tooltip="https://pravo-search.minjust.ru/bigs/showDocument.html?id=33B9FFE1-E1C8-4A89-A587-A20DFAC9F0C1" w:history="1">
        <w:r w:rsidRPr="00385201">
          <w:rPr>
            <w:rStyle w:val="a3"/>
            <w:color w:val="auto"/>
            <w:sz w:val="28"/>
            <w:szCs w:val="28"/>
            <w:u w:val="none"/>
          </w:rPr>
          <w:t>Об общих требованиях к оценке налоговых расходов субъектов Российской Федерации и муниципальных образований</w:t>
        </w:r>
      </w:hyperlink>
      <w:r w:rsidRPr="00385201">
        <w:rPr>
          <w:sz w:val="28"/>
          <w:szCs w:val="28"/>
        </w:rPr>
        <w:t xml:space="preserve">», администрация </w:t>
      </w:r>
      <w:proofErr w:type="spellStart"/>
      <w:r w:rsidRPr="00385201">
        <w:rPr>
          <w:sz w:val="28"/>
          <w:szCs w:val="28"/>
        </w:rPr>
        <w:t>Новочадовского</w:t>
      </w:r>
      <w:proofErr w:type="spellEnd"/>
      <w:r w:rsidRPr="00385201">
        <w:rPr>
          <w:sz w:val="28"/>
          <w:szCs w:val="28"/>
        </w:rPr>
        <w:t xml:space="preserve"> сельского поселения </w:t>
      </w:r>
      <w:proofErr w:type="spellStart"/>
      <w:r w:rsidRPr="00385201">
        <w:rPr>
          <w:sz w:val="28"/>
          <w:szCs w:val="28"/>
        </w:rPr>
        <w:t>Атюрьевского</w:t>
      </w:r>
      <w:proofErr w:type="spellEnd"/>
      <w:r w:rsidRPr="00385201">
        <w:rPr>
          <w:sz w:val="28"/>
          <w:szCs w:val="28"/>
        </w:rPr>
        <w:t xml:space="preserve"> муниципального района Республики Мордовия постановляет: 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 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1. Утвердить Порядок формирования перечня и оценки налоговых расходо</w:t>
      </w:r>
      <w:r>
        <w:rPr>
          <w:sz w:val="28"/>
          <w:szCs w:val="28"/>
        </w:rPr>
        <w:t xml:space="preserve">в администрации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поселения, </w:t>
      </w:r>
      <w:r>
        <w:rPr>
          <w:sz w:val="28"/>
          <w:szCs w:val="28"/>
        </w:rPr>
        <w:t xml:space="preserve">согласно </w:t>
      </w:r>
      <w:r w:rsidRPr="006635E4">
        <w:rPr>
          <w:sz w:val="28"/>
          <w:szCs w:val="28"/>
        </w:rPr>
        <w:t>приложению</w:t>
      </w:r>
      <w:r>
        <w:rPr>
          <w:sz w:val="28"/>
          <w:szCs w:val="28"/>
        </w:rPr>
        <w:t>,</w:t>
      </w:r>
      <w:r w:rsidRPr="006635E4">
        <w:rPr>
          <w:sz w:val="28"/>
          <w:szCs w:val="28"/>
        </w:rPr>
        <w:t xml:space="preserve"> к настоящему постановлению.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2. Контроль за выполнением настоящего постановления оставляю за собой.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 xml:space="preserve">3. Настоящее постановление вступает в силу после дня его официального опубликования в </w:t>
      </w:r>
      <w:r>
        <w:rPr>
          <w:sz w:val="28"/>
          <w:szCs w:val="28"/>
        </w:rPr>
        <w:t>местной газете «Вести села</w:t>
      </w:r>
      <w:r w:rsidRPr="006635E4">
        <w:rPr>
          <w:sz w:val="28"/>
          <w:szCs w:val="28"/>
        </w:rPr>
        <w:t>» и подлежит размещению на официальном сайте</w:t>
      </w:r>
      <w:r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</w:t>
      </w:r>
      <w:r>
        <w:rPr>
          <w:sz w:val="28"/>
          <w:szCs w:val="28"/>
        </w:rPr>
        <w:t xml:space="preserve">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 w:rsidRPr="006635E4">
        <w:rPr>
          <w:sz w:val="28"/>
          <w:szCs w:val="28"/>
        </w:rPr>
        <w:t xml:space="preserve"> муниципального района.</w:t>
      </w:r>
    </w:p>
    <w:p w:rsidR="00927333" w:rsidRDefault="00927333" w:rsidP="00927333"/>
    <w:p w:rsidR="00927333" w:rsidRDefault="00927333" w:rsidP="00927333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2"/>
          <w:sz w:val="28"/>
          <w:szCs w:val="28"/>
          <w:lang w:eastAsia="ru-RU"/>
        </w:rPr>
      </w:pPr>
    </w:p>
    <w:p w:rsidR="00927333" w:rsidRDefault="00927333" w:rsidP="00927333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2"/>
          <w:sz w:val="28"/>
          <w:szCs w:val="28"/>
          <w:lang w:eastAsia="ru-RU"/>
        </w:rPr>
      </w:pPr>
    </w:p>
    <w:p w:rsidR="00927333" w:rsidRDefault="00927333" w:rsidP="00927333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2"/>
          <w:sz w:val="28"/>
          <w:szCs w:val="28"/>
          <w:lang w:eastAsia="ru-RU"/>
        </w:rPr>
      </w:pPr>
    </w:p>
    <w:p w:rsidR="00927333" w:rsidRDefault="00927333" w:rsidP="00927333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2"/>
          <w:sz w:val="28"/>
          <w:szCs w:val="28"/>
          <w:lang w:eastAsia="ru-RU"/>
        </w:rPr>
      </w:pPr>
    </w:p>
    <w:p w:rsidR="00927333" w:rsidRDefault="00927333" w:rsidP="00927333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2"/>
          <w:sz w:val="28"/>
          <w:szCs w:val="28"/>
          <w:lang w:eastAsia="ru-RU"/>
        </w:rPr>
      </w:pPr>
      <w:proofErr w:type="spellStart"/>
      <w:r w:rsidRPr="006013A5">
        <w:rPr>
          <w:rFonts w:ascii="Times New Roman" w:eastAsia="SimSun" w:hAnsi="Times New Roman"/>
          <w:kern w:val="2"/>
          <w:sz w:val="28"/>
          <w:szCs w:val="28"/>
          <w:lang w:eastAsia="ru-RU"/>
        </w:rPr>
        <w:t>И.о.главы</w:t>
      </w:r>
      <w:proofErr w:type="spellEnd"/>
      <w:r w:rsidRPr="006013A5">
        <w:rPr>
          <w:rFonts w:ascii="Times New Roman" w:eastAsia="SimSun" w:hAnsi="Times New Roman"/>
          <w:kern w:val="2"/>
          <w:sz w:val="28"/>
          <w:szCs w:val="28"/>
          <w:lang w:eastAsia="ru-RU"/>
        </w:rPr>
        <w:t xml:space="preserve"> </w:t>
      </w:r>
      <w:proofErr w:type="spellStart"/>
      <w:r w:rsidRPr="006013A5">
        <w:rPr>
          <w:rFonts w:ascii="Times New Roman" w:eastAsia="SimSun" w:hAnsi="Times New Roman"/>
          <w:kern w:val="2"/>
          <w:sz w:val="28"/>
          <w:szCs w:val="28"/>
          <w:lang w:eastAsia="ru-RU"/>
        </w:rPr>
        <w:t>Новочадовского</w:t>
      </w:r>
      <w:proofErr w:type="spellEnd"/>
    </w:p>
    <w:p w:rsidR="00927333" w:rsidRPr="006013A5" w:rsidRDefault="00927333" w:rsidP="00927333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2"/>
          <w:sz w:val="28"/>
          <w:szCs w:val="28"/>
          <w:lang w:eastAsia="ru-RU"/>
        </w:rPr>
      </w:pPr>
      <w:r w:rsidRPr="006013A5">
        <w:rPr>
          <w:rFonts w:ascii="Times New Roman" w:eastAsia="SimSun" w:hAnsi="Times New Roman"/>
          <w:kern w:val="2"/>
          <w:sz w:val="28"/>
          <w:szCs w:val="28"/>
          <w:lang w:eastAsia="ru-RU"/>
        </w:rPr>
        <w:t xml:space="preserve"> сельского </w:t>
      </w:r>
      <w:proofErr w:type="gramStart"/>
      <w:r w:rsidRPr="006013A5">
        <w:rPr>
          <w:rFonts w:ascii="Times New Roman" w:eastAsia="SimSun" w:hAnsi="Times New Roman"/>
          <w:kern w:val="2"/>
          <w:sz w:val="28"/>
          <w:szCs w:val="28"/>
          <w:lang w:eastAsia="ru-RU"/>
        </w:rPr>
        <w:t xml:space="preserve">поселения: </w:t>
      </w:r>
      <w:r>
        <w:rPr>
          <w:rFonts w:ascii="Times New Roman" w:eastAsia="SimSun" w:hAnsi="Times New Roman"/>
          <w:kern w:val="2"/>
          <w:sz w:val="28"/>
          <w:szCs w:val="28"/>
          <w:lang w:eastAsia="ru-RU"/>
        </w:rPr>
        <w:t xml:space="preserve">  </w:t>
      </w:r>
      <w:proofErr w:type="gramEnd"/>
      <w:r>
        <w:rPr>
          <w:rFonts w:ascii="Times New Roman" w:eastAsia="SimSun" w:hAnsi="Times New Roman"/>
          <w:kern w:val="2"/>
          <w:sz w:val="28"/>
          <w:szCs w:val="28"/>
          <w:lang w:eastAsia="ru-RU"/>
        </w:rPr>
        <w:t xml:space="preserve">                                                   </w:t>
      </w:r>
      <w:proofErr w:type="spellStart"/>
      <w:r w:rsidRPr="006013A5">
        <w:rPr>
          <w:rFonts w:ascii="Times New Roman" w:eastAsia="SimSun" w:hAnsi="Times New Roman"/>
          <w:kern w:val="2"/>
          <w:sz w:val="28"/>
          <w:szCs w:val="28"/>
          <w:lang w:eastAsia="ru-RU"/>
        </w:rPr>
        <w:t>Русяйкина</w:t>
      </w:r>
      <w:proofErr w:type="spellEnd"/>
      <w:r w:rsidRPr="006013A5">
        <w:rPr>
          <w:rFonts w:ascii="Times New Roman" w:eastAsia="SimSun" w:hAnsi="Times New Roman"/>
          <w:kern w:val="2"/>
          <w:sz w:val="28"/>
          <w:szCs w:val="28"/>
          <w:lang w:eastAsia="ru-RU"/>
        </w:rPr>
        <w:t xml:space="preserve"> </w:t>
      </w:r>
      <w:proofErr w:type="spellStart"/>
      <w:r w:rsidRPr="006013A5">
        <w:rPr>
          <w:rFonts w:ascii="Times New Roman" w:eastAsia="SimSun" w:hAnsi="Times New Roman"/>
          <w:kern w:val="2"/>
          <w:sz w:val="28"/>
          <w:szCs w:val="28"/>
          <w:lang w:eastAsia="ru-RU"/>
        </w:rPr>
        <w:t>Н.С</w:t>
      </w:r>
      <w:proofErr w:type="spellEnd"/>
      <w:r w:rsidRPr="006013A5">
        <w:rPr>
          <w:rFonts w:ascii="Times New Roman" w:eastAsia="SimSun" w:hAnsi="Times New Roman"/>
          <w:kern w:val="2"/>
          <w:sz w:val="28"/>
          <w:szCs w:val="28"/>
          <w:lang w:eastAsia="ru-RU"/>
        </w:rPr>
        <w:t>.</w:t>
      </w:r>
    </w:p>
    <w:p w:rsidR="00927333" w:rsidRDefault="00927333" w:rsidP="00927333"/>
    <w:p w:rsidR="00927333" w:rsidRDefault="00927333" w:rsidP="00927333"/>
    <w:p w:rsidR="00927333" w:rsidRDefault="00927333" w:rsidP="00927333"/>
    <w:p w:rsidR="00927333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 w:rsidRPr="006635E4">
        <w:rPr>
          <w:sz w:val="28"/>
          <w:szCs w:val="28"/>
        </w:rPr>
        <w:lastRenderedPageBreak/>
        <w:t>УТВЕРЖДЕН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 w:rsidRPr="006635E4">
        <w:rPr>
          <w:sz w:val="28"/>
          <w:szCs w:val="28"/>
        </w:rPr>
        <w:t>Постановлением администрации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Атюрьевского</w:t>
      </w:r>
      <w:proofErr w:type="spellEnd"/>
      <w:r w:rsidRPr="006635E4">
        <w:rPr>
          <w:sz w:val="28"/>
          <w:szCs w:val="28"/>
        </w:rPr>
        <w:t xml:space="preserve"> муниципального района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 w:rsidRPr="006635E4">
        <w:rPr>
          <w:sz w:val="28"/>
          <w:szCs w:val="28"/>
        </w:rPr>
        <w:t>Республики Мордовия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от «25» августа 2026 г. №14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 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6635E4">
        <w:rPr>
          <w:b/>
          <w:bCs/>
          <w:sz w:val="28"/>
          <w:szCs w:val="28"/>
        </w:rPr>
        <w:t>ПОРЯДОК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6635E4">
        <w:rPr>
          <w:b/>
          <w:bCs/>
          <w:sz w:val="28"/>
          <w:szCs w:val="28"/>
        </w:rPr>
        <w:t>формирования перечня и оценки налоговых расходов</w:t>
      </w:r>
      <w:r>
        <w:rPr>
          <w:b/>
          <w:bCs/>
          <w:sz w:val="28"/>
          <w:szCs w:val="28"/>
        </w:rPr>
        <w:t xml:space="preserve"> администрации </w:t>
      </w:r>
      <w:proofErr w:type="spellStart"/>
      <w:r>
        <w:rPr>
          <w:b/>
          <w:bCs/>
          <w:sz w:val="28"/>
          <w:szCs w:val="28"/>
        </w:rPr>
        <w:t>Новочадовского</w:t>
      </w:r>
      <w:proofErr w:type="spellEnd"/>
      <w:r w:rsidRPr="006635E4">
        <w:rPr>
          <w:b/>
          <w:bCs/>
          <w:sz w:val="28"/>
          <w:szCs w:val="28"/>
        </w:rPr>
        <w:t xml:space="preserve"> сельского поселения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 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left="1778"/>
        <w:jc w:val="center"/>
        <w:rPr>
          <w:sz w:val="28"/>
          <w:szCs w:val="28"/>
        </w:rPr>
      </w:pPr>
      <w:r w:rsidRPr="006635E4">
        <w:rPr>
          <w:b/>
          <w:bCs/>
          <w:sz w:val="28"/>
          <w:szCs w:val="28"/>
        </w:rPr>
        <w:t>1. Общие положения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left="709"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 </w:t>
      </w:r>
    </w:p>
    <w:p w:rsidR="00927333" w:rsidRPr="00C77143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77143">
        <w:rPr>
          <w:sz w:val="28"/>
          <w:szCs w:val="28"/>
        </w:rPr>
        <w:t xml:space="preserve">1.1. Настоящий Порядок определяет порядок формирования перечня налоговых расходов, правила формирования информации о характеристиках налоговых расходов и устанавливает требования к критериям оценки налоговых расходов администрации </w:t>
      </w:r>
      <w:proofErr w:type="spellStart"/>
      <w:r w:rsidRPr="00C77143">
        <w:rPr>
          <w:sz w:val="28"/>
          <w:szCs w:val="28"/>
        </w:rPr>
        <w:t>Новочадовского</w:t>
      </w:r>
      <w:proofErr w:type="spellEnd"/>
      <w:r w:rsidRPr="00C77143">
        <w:rPr>
          <w:sz w:val="28"/>
          <w:szCs w:val="28"/>
        </w:rPr>
        <w:t xml:space="preserve"> сельского поселения.</w:t>
      </w:r>
    </w:p>
    <w:p w:rsidR="00927333" w:rsidRPr="00C77143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77143">
        <w:rPr>
          <w:sz w:val="28"/>
          <w:szCs w:val="28"/>
        </w:rPr>
        <w:t>1.2. В целях реализации настоящего Порядка применяются следующие понятия и термины: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77143">
        <w:rPr>
          <w:sz w:val="28"/>
          <w:szCs w:val="28"/>
        </w:rPr>
        <w:t xml:space="preserve">- «куратор налогового расхода» - администрация поселения, ответственная в соответствии с полномочиями, установленными муниципальными правовыми актами, за достижение соответствующих налоговому расходу целей муниципальной программы и (или) целей социально-экономической </w:t>
      </w:r>
      <w:r w:rsidRPr="006635E4">
        <w:rPr>
          <w:sz w:val="28"/>
          <w:szCs w:val="28"/>
        </w:rPr>
        <w:t>политики поселения, не относящихся к муниципальным программам;</w:t>
      </w:r>
    </w:p>
    <w:p w:rsidR="00927333" w:rsidRPr="00C77143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77143">
        <w:rPr>
          <w:sz w:val="28"/>
          <w:szCs w:val="28"/>
        </w:rPr>
        <w:t>- «налоговые расходы» - выпадающие доходы бюджета поселения, обусловленные налоговыми льготами, освобождением от уплаты налога и иными преференциями по налогам и сборам, предусмотренными в качестве мер поддержки, в соответствии с целями муниципальной программы и (или) целями социально-экономической политики поселения, не относящихся к муниципальным программам;</w:t>
      </w:r>
    </w:p>
    <w:p w:rsidR="00927333" w:rsidRPr="00C77143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77143">
        <w:rPr>
          <w:sz w:val="28"/>
          <w:szCs w:val="28"/>
        </w:rPr>
        <w:t>- «нормативные характеристики налоговых расходов» - сведения о положениях муниципальных правовых актов, которыми предусматриваются налоговые льготы, освобождения и иные преференции по налогам (далее - льготы), наименованиях налогов, по которым установлены льготы, категориях плательщиков, для которых предусмотрены льготы, а также иные характеристики, предусмотренные муниципальными правовыми актами;</w:t>
      </w:r>
    </w:p>
    <w:p w:rsidR="00927333" w:rsidRPr="00C77143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77143">
        <w:rPr>
          <w:sz w:val="28"/>
          <w:szCs w:val="28"/>
        </w:rPr>
        <w:t>- «оценка налоговых расходов муниципального образования» - комплекс мероприятий по оценке объемов налоговых расходов, обусловленных льготами, предоставленными плательщикам, а также по оценке эффективности налоговых расходов администрации поселения;</w:t>
      </w:r>
    </w:p>
    <w:p w:rsidR="00927333" w:rsidRPr="00C77143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77143">
        <w:rPr>
          <w:sz w:val="28"/>
          <w:szCs w:val="28"/>
        </w:rPr>
        <w:t>- «оценка объемов налоговых расходов муниципального образования» - определение объемов выпадающих доходов администрации поселения, обусловленных льготами, предоставленными плательщикам;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lastRenderedPageBreak/>
        <w:t>- «оценка эффективности налоговых расходов муниципального образования» - комплекс мероприятий, позволяющих сделать вывод о целесообразности и результативности предоставления плательщикам льгот исходя из целевых характеристик налогового расхода муниципального образования;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- «перечень налоговых расходов» - документ, содержащий сведения о распределении налоговых расходов администрации поселения в соответствии с целями муниципальных программ и (или) целями социально-экономической политики администрации поселения, не относящимися к муниципальным программам, а также о кураторах налоговых расходов;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- «плательщики» - плательщики налогов;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- «социальные налоговые расходы муниципального образования» - целевая категория налоговых расходов муниципального образования, обусловленных необходимостью обеспечения социальной защиты (поддержки) населения, укрепления здоровья человека, развития физической культуры и спорта, экологического и санитарно-эпидемиологического благополучия и поддержки благотворительной и добровольческой (волонтерской) деятельности;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- «стимулирующие налоговые расходы муниципального образования» - целевая категория налоговых расходов администрации поселения, предполагающих стимулирование экономической активности субъектов предпринимательской деятельности и последующее увеличение (предотвращение снижения) доходов местного бюджета;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- «технические налоговые расходы муниципального образования» - целевая категория налоговых расходов администрации поселения, предполагающих уменьшение расходов плательщиков, воспользовавшихся льготами, финансовое обеспечение которых осуществляется в полном объеме или частично за счет бюджетов бюджетной системы Российской Федерации;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- «фискальные характеристики налоговых расходов муниципального образования» - сведения об объеме льгот, предоставленных плательщикам, о численности получателей льгот и об объеме налогов, задекларированных ими для уплаты в местный бюджет;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- «целевые характеристики налогового расхода муниципального образования» - сведения о целях предоставления, показателях (индикаторах) достижения целей предоставления льготы, а также иные характеристики, предусмотренные муниципальными правовыми актами.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1.3. Отнесение налоговых расходов администрации поселения к муниципальным программам осуществляется исходя из целей муниципальных программ и (или) целей социально-экономической политики администрации поселения, не относящихся к муниципальным программам.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 xml:space="preserve">1.4. Оценка налоговых расходов администрации поселения осуществляется </w:t>
      </w:r>
      <w:r>
        <w:rPr>
          <w:sz w:val="28"/>
          <w:szCs w:val="28"/>
        </w:rPr>
        <w:t xml:space="preserve">администрацией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</w:t>
      </w:r>
      <w:r>
        <w:rPr>
          <w:sz w:val="28"/>
          <w:szCs w:val="28"/>
        </w:rPr>
        <w:t xml:space="preserve">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 w:rsidRPr="006635E4">
        <w:rPr>
          <w:sz w:val="28"/>
          <w:szCs w:val="28"/>
        </w:rPr>
        <w:t xml:space="preserve"> муниципального района Республики Мордовия совместно с Финансовым управлением</w:t>
      </w:r>
      <w:r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Атюрьевского</w:t>
      </w:r>
      <w:proofErr w:type="spellEnd"/>
      <w:r w:rsidRPr="006635E4">
        <w:rPr>
          <w:sz w:val="28"/>
          <w:szCs w:val="28"/>
        </w:rPr>
        <w:t xml:space="preserve"> района (далее – Финансовое управление).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lastRenderedPageBreak/>
        <w:t>1.5. В целях оценки налоговых расходов администрацией поселения формируется паспорт налоговых расходов, содержащий информацию, предусмотренную приложением к настоящему Порядку, осуществляется оценка эффективности налоговых расходов, и результаты такой оценки направляются в Финансовое управление.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b/>
          <w:bCs/>
          <w:sz w:val="28"/>
          <w:szCs w:val="28"/>
        </w:rPr>
        <w:t> 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6635E4">
        <w:rPr>
          <w:b/>
          <w:bCs/>
          <w:sz w:val="28"/>
          <w:szCs w:val="28"/>
        </w:rPr>
        <w:t>2. Порядок формирования перечня налоговых расходов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 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2.1. Проект перечня нало</w:t>
      </w:r>
      <w:r>
        <w:rPr>
          <w:sz w:val="28"/>
          <w:szCs w:val="28"/>
        </w:rPr>
        <w:t xml:space="preserve">говых расходов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формируется Администрацией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 до 10 апреля и направляется на согласование ответственным исполнителям муниципа</w:t>
      </w:r>
      <w:r>
        <w:rPr>
          <w:sz w:val="28"/>
          <w:szCs w:val="28"/>
        </w:rPr>
        <w:t xml:space="preserve">льных программ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поселения, которые предлагается определить в качестве кураторов налоговых расходов.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2.2. Кураторы налоговых расходов до 1 мая рассматривают проект перечня нало</w:t>
      </w:r>
      <w:r>
        <w:rPr>
          <w:sz w:val="28"/>
          <w:szCs w:val="28"/>
        </w:rPr>
        <w:t xml:space="preserve">говых расходов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 на предмет предлагаемого распределения нало</w:t>
      </w:r>
      <w:r>
        <w:rPr>
          <w:sz w:val="28"/>
          <w:szCs w:val="28"/>
        </w:rPr>
        <w:t xml:space="preserve">говых расходов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 в соответствии с целями муниципальных программ</w:t>
      </w:r>
      <w:r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 и (или) целями социально-экономиче</w:t>
      </w:r>
      <w:r>
        <w:rPr>
          <w:sz w:val="28"/>
          <w:szCs w:val="28"/>
        </w:rPr>
        <w:t xml:space="preserve">ского развития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поселения, не относящимися к муниципаль</w:t>
      </w:r>
      <w:r>
        <w:rPr>
          <w:sz w:val="28"/>
          <w:szCs w:val="28"/>
        </w:rPr>
        <w:t xml:space="preserve">ным программам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поселения.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Замечания и предложения по уточнению проекта перечня нало</w:t>
      </w:r>
      <w:r>
        <w:rPr>
          <w:sz w:val="28"/>
          <w:szCs w:val="28"/>
        </w:rPr>
        <w:t xml:space="preserve">говых расходов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 направляются в</w:t>
      </w:r>
      <w:r>
        <w:rPr>
          <w:sz w:val="28"/>
          <w:szCs w:val="28"/>
        </w:rPr>
        <w:t xml:space="preserve"> Администрацию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поселения.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В случае если указанные замечания и предложения предполагают изменение куратора налогового расхода, замечания и предложения подлежат согласованию с предлагаемым куратором налогового расхода и направлению в</w:t>
      </w:r>
      <w:r>
        <w:rPr>
          <w:sz w:val="28"/>
          <w:szCs w:val="28"/>
        </w:rPr>
        <w:t xml:space="preserve"> Администрацию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 в течение срока, указанного в абзаце первом настоящего пункта.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В случае если эти замечания и предложения не направлены в Ад</w:t>
      </w:r>
      <w:r>
        <w:rPr>
          <w:sz w:val="28"/>
          <w:szCs w:val="28"/>
        </w:rPr>
        <w:t xml:space="preserve">министрацию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 в течение срока, указанного в абзаце первом настоящего пункта, проект перечня нало</w:t>
      </w:r>
      <w:r>
        <w:rPr>
          <w:sz w:val="28"/>
          <w:szCs w:val="28"/>
        </w:rPr>
        <w:t xml:space="preserve">говых расходов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 считается согласованным в соответствующей части.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В случае если замечания и предложения по уточнению проекта перечня нало</w:t>
      </w:r>
      <w:r>
        <w:rPr>
          <w:sz w:val="28"/>
          <w:szCs w:val="28"/>
        </w:rPr>
        <w:t xml:space="preserve">говых расходов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 не содержат предложений по уточнению предлагаемого распределения нало</w:t>
      </w:r>
      <w:r>
        <w:rPr>
          <w:sz w:val="28"/>
          <w:szCs w:val="28"/>
        </w:rPr>
        <w:t xml:space="preserve">говых расходов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 в соответствии с целями муниципа</w:t>
      </w:r>
      <w:r>
        <w:rPr>
          <w:sz w:val="28"/>
          <w:szCs w:val="28"/>
        </w:rPr>
        <w:t xml:space="preserve">льных программ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 и (или) целями социально- экономиче</w:t>
      </w:r>
      <w:r>
        <w:rPr>
          <w:sz w:val="28"/>
          <w:szCs w:val="28"/>
        </w:rPr>
        <w:t xml:space="preserve">ского развития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 не относящимися к муниципаль</w:t>
      </w:r>
      <w:r>
        <w:rPr>
          <w:sz w:val="28"/>
          <w:szCs w:val="28"/>
        </w:rPr>
        <w:t xml:space="preserve">ным программам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поселения, проект перечня налоговых расходов</w:t>
      </w:r>
      <w:r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 считается согласованным в соответствующей части.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lastRenderedPageBreak/>
        <w:t>Согласование проекта перечня нало</w:t>
      </w:r>
      <w:r>
        <w:rPr>
          <w:sz w:val="28"/>
          <w:szCs w:val="28"/>
        </w:rPr>
        <w:t xml:space="preserve">говых расходов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 в части позиций, изложенных идентично позициям пе</w:t>
      </w:r>
      <w:r>
        <w:rPr>
          <w:sz w:val="28"/>
          <w:szCs w:val="28"/>
        </w:rPr>
        <w:t xml:space="preserve">речня налоговых расходов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 не требуется, за исключением случаев внесения изменений в перечень муниципа</w:t>
      </w:r>
      <w:r>
        <w:rPr>
          <w:sz w:val="28"/>
          <w:szCs w:val="28"/>
        </w:rPr>
        <w:t xml:space="preserve">льных программ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 и (или) случаев изменения полномочий органов местного </w:t>
      </w:r>
      <w:r>
        <w:rPr>
          <w:sz w:val="28"/>
          <w:szCs w:val="28"/>
        </w:rPr>
        <w:t xml:space="preserve">самоуправления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поселения, отраслевых (функциона</w:t>
      </w:r>
      <w:r>
        <w:rPr>
          <w:sz w:val="28"/>
          <w:szCs w:val="28"/>
        </w:rPr>
        <w:t xml:space="preserve">льных) органов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поселения, определенных в качестве кураторов налоговых расходов.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При наличии разногласий</w:t>
      </w:r>
      <w:r>
        <w:rPr>
          <w:sz w:val="28"/>
          <w:szCs w:val="28"/>
        </w:rPr>
        <w:t xml:space="preserve"> Администрация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 обеспечивает согласование проекта перечня нало</w:t>
      </w:r>
      <w:r>
        <w:rPr>
          <w:sz w:val="28"/>
          <w:szCs w:val="28"/>
        </w:rPr>
        <w:t xml:space="preserve">говых расходов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 w:rsidRPr="006635E4">
        <w:rPr>
          <w:sz w:val="28"/>
          <w:szCs w:val="28"/>
        </w:rPr>
        <w:t>с соответствующими кураторами налоговых расходов до 1 июня.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2.3. Согласованный перечень нало</w:t>
      </w:r>
      <w:r>
        <w:rPr>
          <w:sz w:val="28"/>
          <w:szCs w:val="28"/>
        </w:rPr>
        <w:t xml:space="preserve">говых расходов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 размещается на официа</w:t>
      </w:r>
      <w:r>
        <w:rPr>
          <w:sz w:val="28"/>
          <w:szCs w:val="28"/>
        </w:rPr>
        <w:t xml:space="preserve">льном сайте Администрации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 в информационно-телекоммуникационной</w:t>
      </w:r>
      <w:r>
        <w:rPr>
          <w:sz w:val="28"/>
          <w:szCs w:val="28"/>
        </w:rPr>
        <w:t xml:space="preserve"> </w:t>
      </w:r>
      <w:r w:rsidRPr="006635E4">
        <w:rPr>
          <w:sz w:val="28"/>
          <w:szCs w:val="28"/>
        </w:rPr>
        <w:t>сети «Интернет».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2.4. В случае внесения в текущем финансовом году изменений в перечень муниципа</w:t>
      </w:r>
      <w:r>
        <w:rPr>
          <w:sz w:val="28"/>
          <w:szCs w:val="28"/>
        </w:rPr>
        <w:t xml:space="preserve">льных программ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 и (или) в случае изменения полномочий кураторов налоговых расходов, в связи с которыми возникает необходимость внесения изменений в перечень нало</w:t>
      </w:r>
      <w:r>
        <w:rPr>
          <w:sz w:val="28"/>
          <w:szCs w:val="28"/>
        </w:rPr>
        <w:t xml:space="preserve">говых расходов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поселения, кураторы налоговых расходов не позднее 10 рабочих дней со дня внесения соответствующих изменений направляют в</w:t>
      </w:r>
      <w:r>
        <w:rPr>
          <w:sz w:val="28"/>
          <w:szCs w:val="28"/>
        </w:rPr>
        <w:t xml:space="preserve"> Администрацию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 соответствующую информацию для уточнения</w:t>
      </w:r>
      <w:r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 перечня нало</w:t>
      </w:r>
      <w:r>
        <w:rPr>
          <w:sz w:val="28"/>
          <w:szCs w:val="28"/>
        </w:rPr>
        <w:t xml:space="preserve">говых расходов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поселения.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2.5. Перечень налоговых расходов 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 с внесенными в него изменениями формируется до 1 октября (в случае уточнения в рамках формирования п</w:t>
      </w:r>
      <w:r>
        <w:rPr>
          <w:sz w:val="28"/>
          <w:szCs w:val="28"/>
        </w:rPr>
        <w:t xml:space="preserve">роекта бюджета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поселения) и до 1 декабря (в случае уточнения в рамках рассмотрения).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 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6635E4">
        <w:rPr>
          <w:b/>
          <w:bCs/>
          <w:sz w:val="28"/>
          <w:szCs w:val="28"/>
        </w:rPr>
        <w:t>3. Порядок проведения оценки налоговых расходов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 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3.1. </w:t>
      </w:r>
      <w:r w:rsidRPr="006635E4">
        <w:rPr>
          <w:sz w:val="28"/>
          <w:szCs w:val="28"/>
          <w:shd w:val="clear" w:color="auto" w:fill="FFFFFF"/>
        </w:rPr>
        <w:t>В целях оценки бюджетной эффективности налоговых расходов муниципального образования осуществляются сравнительный анализ результативности предоставления льгот и результативности применения альтернативных механизмов достижения целей муниципальной программы и (или) целей социально-экономической политики, не относящихся к муниципальным программам.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3.2. Оценка эффективности налоговых расходов включает в себя оценку целесообразности налоговых расходов и оценку результативности налоговых расходов.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3.3. Оценка эффективности налоговых расходов проводится: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lastRenderedPageBreak/>
        <w:t>1) по осуществляемым социальным и техническим налоговым расходам по данным за отчетный год;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2) по осуществляемым стимулирующим налоговым расходам по данным за период с начала действия для плательщиков льгот или за 5 отчетных лет, а в случае, если указанные налоговые расходы действуют более 6 лет, на день проведения оценки эффективности налогового расхода;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3) по планируемым социальным и техническим расходам по данным на очередной финансовый год и плановый период либо на планируемый период действия налоговой льготы;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4) по планируемым стимулирующим налоговым расходам по данным на прогнозный период, который определяется как период от года начала действия налоговых расходов до года окончания действия налоговых расходов, но не более 5 лет.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3.4. Администрация поселения ежегодно запрашивает в Управлении Федеральной налоговой службы сведения за отчетный год, а также в случае необходимости уточненные данные за иные отчетные периоды, содержащие: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1) сведения об объеме налоговых льгот;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2) сведения о количестве плательщиков, воспользовавшихся льготами;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3) сведения о базовом объеме налогов, задекларированных для уплаты в бюджет сельского поселения;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4) иную информацию, необходимую для оценки налоговых расходов, не составляющую налоговую тайну.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3.5. Администрация поселения организует формирование оценки целесообразности расходов по каждому налоговому расходу и до 1 октября текущего года, предоставляет соответствующую оценку и информацию о признании налоговых расходов целесообразными или относительно целесообразными в Финансовое управление.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3.6. Критериями целесообразности налоговых расходов являются: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1) соответствие налоговых расходов целям муниципальных программ и (или) целям социально-экономической политики администрации поселения, не относящимся к муниципальным программам;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2) востребованность плательщиками предоставленных льгот, которая характеризуется соотношением численности плательщиков, воспользовавшихся правом на льготы, и численности плательщиков, обладающих потенциальным правом на применение льготы, или общей численности плательщиков, за 5-летний период. В целях проведения оценки востребованности плательщиками предоставленных льгот куратором налогового расхода может быть определено минимальное значение соотношения, при котором льгота признается востребованной.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 xml:space="preserve">3.7. Налоговые расходы считаются целесообразными в случае одновременного соответствия подпунктам 1 и 2 пункта 3.6 настоящего Порядка. В случае несоответствия налоговых расходов администрации поселения хотя бы одному из критериев, указанных в пункте 3.6 настоящего Порядка, налоговые расходы признаются относительно целесообразными и </w:t>
      </w:r>
      <w:r w:rsidRPr="006635E4">
        <w:rPr>
          <w:sz w:val="28"/>
          <w:szCs w:val="28"/>
        </w:rPr>
        <w:lastRenderedPageBreak/>
        <w:t>подлежат вынесению на рассмотрение главе поселения в форме служебной записки для принятия решения о продлении или отмене налоговой льготы.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3.8. Целесообразные или относительно целесообразные по результатам оценки налоговые расходы подлежат оценке результативности. Оценка результативности налоговых расходов подразумевает оценку бюджетной эффективности налоговых расходов. Оценку результативности налоговых расходов допускается не проводить в отношении технических налоговых расходов.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3.9. В случае несоответствия налогового расхода ни одному из подпунктов пункта 3.6 настоящего Порядка налоговые расходы считаются нецелесообразными. Нецелесообразные расходы признаются неэффективными, не направляются для проведения оценки результативности, подлежат отмене.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3.10. При необходимости куратором налогового расхода могут быть установлены дополнительные критерии оценки бюджетной эффективности налогового расхода.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3.11. Лицо, осуществляющее оценку бюджетной эффективности налоговых расходов путем проведения сравнительного анализа, предоставляет соответствующие сведения в</w:t>
      </w:r>
      <w:r>
        <w:rPr>
          <w:sz w:val="28"/>
          <w:szCs w:val="28"/>
        </w:rPr>
        <w:t xml:space="preserve"> администрацию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6635E4">
        <w:rPr>
          <w:sz w:val="28"/>
          <w:szCs w:val="28"/>
        </w:rPr>
        <w:t xml:space="preserve"> сельского поселения. Сравнительный анализ включает сравнение объемов расходов бюджета поселения в случае применения альтернативных механизмов достижения целей муниципальных программ и (или) целей социально-экономической политики администрации поселения, не относящихся к муниципальным программам, и объемов предоставленных льгот (расчет прироста показателя (индикатора) достижения целей муниципальной программы и (или) целей социально-экономической политики, не относящихся к муниципальным программам, на 1 рубль налоговых расходов и на 1 рубль расходов бюджета поселения для достижения того же показателя (индикатора) в случае применения альтернативных механизмов). В качестве альтернативных механизмов достижения целей муниципальной программы и (или) целей социально-экономической политики, не относящихся к муниципальным программам, могут учитываться в том числе: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а) субсидии или иные формы непосредственной финансовой поддержки плательщиков, имеющих право на льготы, за счет средств бюджета поселения;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б) предоставление муниципальных гарантий по обязательствам плательщиков, имеющих право на льготы;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в) совершенствование нормативного регулирования и (или) порядка осуществления контрольно-надзорных функций в сфере деятельности плательщиков, имеющих право на льготы.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 xml:space="preserve">3.12. Администрацией поселения на основании оценок целесообразности и результативности, указанных в пунктах 3.7 – 3.9 настоящего Порядка формируется оценка эффективности налоговых расходов администрации поселения ежегодно в срок до 15 ноября (уточненные данные – ежегодно до 1 марта следующим за отчетным годом). В случае если налоговые расходы по результатам оценки результативности признаны </w:t>
      </w:r>
      <w:r w:rsidRPr="006635E4">
        <w:rPr>
          <w:sz w:val="28"/>
          <w:szCs w:val="28"/>
        </w:rPr>
        <w:lastRenderedPageBreak/>
        <w:t>нерезультативными, рассматривается возможность продления, уточнения, либо отмены льгот для плательщиков. В целях принятия решения администрация поселения вправе проводить рабочие встречи и мероприятия, выносить вопрос на рассмотрение руководства администрации. В случае принятия решения об уточнении и (или) отмене налоговой льготы для плательщиков, кураторы налоговых расходов готовят соответствующий проект решения и в установленном порядке выносит на рассмотрение Советом депутатов.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3.13. Итоговая оценка эффективности налоговых расходов размещается на официальном сайте администрации в информационно-телекоммуникационной сети «Интернет».</w:t>
      </w:r>
    </w:p>
    <w:p w:rsidR="00927333" w:rsidRPr="006635E4" w:rsidRDefault="00927333" w:rsidP="0092733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35E4">
        <w:rPr>
          <w:sz w:val="28"/>
          <w:szCs w:val="28"/>
        </w:rPr>
        <w:t>3.14. Результаты рассмотрения оценки налоговых расходов учитываются при формировании основных направлений бюджетной и налоговой политики поселения, а также при проведении оценки эффективности муниципальных программ.</w:t>
      </w:r>
    </w:p>
    <w:p w:rsidR="00927333" w:rsidRDefault="00927333" w:rsidP="00927333">
      <w:pPr>
        <w:rPr>
          <w:rFonts w:ascii="Times New Roman" w:hAnsi="Times New Roman"/>
          <w:sz w:val="28"/>
          <w:szCs w:val="28"/>
        </w:rPr>
      </w:pPr>
    </w:p>
    <w:p w:rsidR="00927333" w:rsidRPr="006635E4" w:rsidRDefault="00927333" w:rsidP="00927333">
      <w:pPr>
        <w:rPr>
          <w:rFonts w:ascii="Times New Roman" w:hAnsi="Times New Roman"/>
          <w:sz w:val="28"/>
          <w:szCs w:val="28"/>
        </w:rPr>
      </w:pPr>
    </w:p>
    <w:p w:rsidR="00927333" w:rsidRPr="006635E4" w:rsidRDefault="00927333" w:rsidP="00927333">
      <w:pPr>
        <w:rPr>
          <w:rFonts w:ascii="Times New Roman" w:hAnsi="Times New Roman"/>
          <w:sz w:val="28"/>
          <w:szCs w:val="28"/>
        </w:rPr>
      </w:pPr>
    </w:p>
    <w:p w:rsidR="00927333" w:rsidRPr="006635E4" w:rsidRDefault="00927333" w:rsidP="00927333">
      <w:pPr>
        <w:rPr>
          <w:rFonts w:ascii="Times New Roman" w:hAnsi="Times New Roman"/>
          <w:sz w:val="28"/>
          <w:szCs w:val="28"/>
        </w:rPr>
      </w:pPr>
    </w:p>
    <w:p w:rsidR="00927333" w:rsidRPr="006635E4" w:rsidRDefault="00927333" w:rsidP="00927333">
      <w:pPr>
        <w:rPr>
          <w:rFonts w:ascii="Times New Roman" w:hAnsi="Times New Roman"/>
          <w:sz w:val="28"/>
          <w:szCs w:val="28"/>
        </w:rPr>
      </w:pPr>
    </w:p>
    <w:p w:rsidR="00927333" w:rsidRPr="006635E4" w:rsidRDefault="00927333" w:rsidP="00927333">
      <w:pPr>
        <w:rPr>
          <w:rFonts w:ascii="Times New Roman" w:hAnsi="Times New Roman"/>
          <w:sz w:val="28"/>
          <w:szCs w:val="28"/>
        </w:rPr>
      </w:pPr>
    </w:p>
    <w:p w:rsidR="00927333" w:rsidRPr="006635E4" w:rsidRDefault="00927333" w:rsidP="00927333">
      <w:pPr>
        <w:rPr>
          <w:rFonts w:ascii="Times New Roman" w:hAnsi="Times New Roman"/>
          <w:sz w:val="28"/>
          <w:szCs w:val="28"/>
        </w:rPr>
      </w:pPr>
    </w:p>
    <w:p w:rsidR="00927333" w:rsidRPr="006635E4" w:rsidRDefault="00927333" w:rsidP="00927333">
      <w:pPr>
        <w:rPr>
          <w:rFonts w:ascii="Times New Roman" w:hAnsi="Times New Roman"/>
          <w:sz w:val="28"/>
          <w:szCs w:val="28"/>
        </w:rPr>
      </w:pPr>
    </w:p>
    <w:p w:rsidR="00927333" w:rsidRDefault="00927333" w:rsidP="00927333">
      <w:pPr>
        <w:rPr>
          <w:rFonts w:ascii="Times New Roman" w:hAnsi="Times New Roman"/>
          <w:sz w:val="28"/>
          <w:szCs w:val="28"/>
        </w:rPr>
      </w:pPr>
    </w:p>
    <w:p w:rsidR="00927333" w:rsidRDefault="00927333" w:rsidP="00927333">
      <w:pPr>
        <w:rPr>
          <w:rFonts w:ascii="Times New Roman" w:hAnsi="Times New Roman"/>
          <w:sz w:val="28"/>
          <w:szCs w:val="28"/>
        </w:rPr>
      </w:pPr>
    </w:p>
    <w:p w:rsidR="00927333" w:rsidRDefault="00927333" w:rsidP="00927333">
      <w:pPr>
        <w:rPr>
          <w:rFonts w:ascii="Times New Roman" w:hAnsi="Times New Roman"/>
          <w:sz w:val="28"/>
          <w:szCs w:val="28"/>
        </w:rPr>
      </w:pPr>
    </w:p>
    <w:p w:rsidR="00927333" w:rsidRDefault="00927333" w:rsidP="00927333">
      <w:pPr>
        <w:rPr>
          <w:rFonts w:ascii="Times New Roman" w:hAnsi="Times New Roman"/>
          <w:sz w:val="28"/>
          <w:szCs w:val="28"/>
        </w:rPr>
      </w:pPr>
    </w:p>
    <w:p w:rsidR="00927333" w:rsidRDefault="00927333" w:rsidP="00927333">
      <w:pPr>
        <w:rPr>
          <w:rFonts w:ascii="Times New Roman" w:hAnsi="Times New Roman"/>
          <w:sz w:val="28"/>
          <w:szCs w:val="28"/>
        </w:rPr>
      </w:pPr>
    </w:p>
    <w:p w:rsidR="00927333" w:rsidRDefault="00927333" w:rsidP="00927333">
      <w:pPr>
        <w:rPr>
          <w:rFonts w:ascii="Times New Roman" w:hAnsi="Times New Roman"/>
          <w:sz w:val="28"/>
          <w:szCs w:val="28"/>
        </w:rPr>
      </w:pPr>
    </w:p>
    <w:p w:rsidR="00927333" w:rsidRDefault="00927333" w:rsidP="00927333">
      <w:pPr>
        <w:rPr>
          <w:rFonts w:ascii="Times New Roman" w:hAnsi="Times New Roman"/>
          <w:sz w:val="28"/>
          <w:szCs w:val="28"/>
        </w:rPr>
      </w:pPr>
    </w:p>
    <w:p w:rsidR="00927333" w:rsidRDefault="00927333" w:rsidP="00927333">
      <w:pPr>
        <w:rPr>
          <w:rFonts w:ascii="Times New Roman" w:hAnsi="Times New Roman"/>
          <w:sz w:val="28"/>
          <w:szCs w:val="28"/>
        </w:rPr>
      </w:pPr>
    </w:p>
    <w:p w:rsidR="00927333" w:rsidRDefault="00927333" w:rsidP="00927333">
      <w:pPr>
        <w:rPr>
          <w:rFonts w:ascii="Times New Roman" w:hAnsi="Times New Roman"/>
          <w:sz w:val="28"/>
          <w:szCs w:val="28"/>
        </w:rPr>
      </w:pPr>
    </w:p>
    <w:p w:rsidR="00927333" w:rsidRDefault="00927333" w:rsidP="00927333">
      <w:pPr>
        <w:rPr>
          <w:rFonts w:ascii="Times New Roman" w:hAnsi="Times New Roman"/>
          <w:sz w:val="28"/>
          <w:szCs w:val="28"/>
        </w:rPr>
      </w:pPr>
    </w:p>
    <w:p w:rsidR="00927333" w:rsidRDefault="00927333" w:rsidP="00927333">
      <w:pPr>
        <w:rPr>
          <w:rFonts w:ascii="Times New Roman" w:hAnsi="Times New Roman"/>
          <w:sz w:val="28"/>
          <w:szCs w:val="28"/>
        </w:rPr>
      </w:pPr>
    </w:p>
    <w:p w:rsidR="00927333" w:rsidRPr="006635E4" w:rsidRDefault="00927333" w:rsidP="00927333">
      <w:pPr>
        <w:spacing w:after="0" w:line="240" w:lineRule="atLeast"/>
        <w:ind w:firstLine="5812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5E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1</w:t>
      </w:r>
    </w:p>
    <w:p w:rsidR="00927333" w:rsidRPr="006635E4" w:rsidRDefault="00927333" w:rsidP="00927333">
      <w:pPr>
        <w:spacing w:after="0" w:line="240" w:lineRule="atLeast"/>
        <w:ind w:firstLine="5812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5E4">
        <w:rPr>
          <w:rFonts w:ascii="Times New Roman" w:eastAsia="Times New Roman" w:hAnsi="Times New Roman"/>
          <w:sz w:val="28"/>
          <w:szCs w:val="28"/>
          <w:lang w:eastAsia="ru-RU"/>
        </w:rPr>
        <w:t>к Порядку формирования</w:t>
      </w:r>
    </w:p>
    <w:p w:rsidR="00927333" w:rsidRPr="006635E4" w:rsidRDefault="00927333" w:rsidP="00927333">
      <w:pPr>
        <w:spacing w:after="0" w:line="240" w:lineRule="atLeast"/>
        <w:ind w:firstLine="5812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5E4">
        <w:rPr>
          <w:rFonts w:ascii="Times New Roman" w:eastAsia="Times New Roman" w:hAnsi="Times New Roman"/>
          <w:sz w:val="28"/>
          <w:szCs w:val="28"/>
          <w:lang w:eastAsia="ru-RU"/>
        </w:rPr>
        <w:t>перечня и оценки налоговых</w:t>
      </w:r>
    </w:p>
    <w:p w:rsidR="00927333" w:rsidRPr="006635E4" w:rsidRDefault="00927333" w:rsidP="00927333">
      <w:pPr>
        <w:spacing w:after="0" w:line="240" w:lineRule="atLeast"/>
        <w:ind w:firstLine="5812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5E4">
        <w:rPr>
          <w:rFonts w:ascii="Times New Roman" w:eastAsia="Times New Roman" w:hAnsi="Times New Roman"/>
          <w:sz w:val="28"/>
          <w:szCs w:val="28"/>
          <w:lang w:eastAsia="ru-RU"/>
        </w:rPr>
        <w:t>расходов администрации</w:t>
      </w:r>
    </w:p>
    <w:p w:rsidR="00927333" w:rsidRPr="006635E4" w:rsidRDefault="00927333" w:rsidP="00927333">
      <w:pPr>
        <w:spacing w:after="0" w:line="240" w:lineRule="atLeast"/>
        <w:ind w:firstLine="5812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 w:rsidRPr="006635E4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</w:t>
      </w:r>
    </w:p>
    <w:p w:rsidR="00927333" w:rsidRPr="006635E4" w:rsidRDefault="00927333" w:rsidP="00927333">
      <w:pPr>
        <w:spacing w:after="0" w:line="240" w:lineRule="atLeast"/>
        <w:ind w:firstLine="5812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5E4">
        <w:rPr>
          <w:rFonts w:ascii="Times New Roman" w:eastAsia="Times New Roman" w:hAnsi="Times New Roman"/>
          <w:sz w:val="28"/>
          <w:szCs w:val="28"/>
          <w:lang w:eastAsia="ru-RU"/>
        </w:rPr>
        <w:t>поселения</w:t>
      </w:r>
    </w:p>
    <w:p w:rsidR="00927333" w:rsidRPr="006635E4" w:rsidRDefault="00927333" w:rsidP="00927333">
      <w:pPr>
        <w:spacing w:after="0" w:line="240" w:lineRule="atLeast"/>
        <w:ind w:firstLine="5812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5E4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927333" w:rsidRPr="006635E4" w:rsidRDefault="00927333" w:rsidP="00927333">
      <w:pPr>
        <w:spacing w:after="0" w:line="300" w:lineRule="atLeast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5E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ПЕРЕЧЕНЬ</w:t>
      </w:r>
    </w:p>
    <w:p w:rsidR="00927333" w:rsidRPr="006635E4" w:rsidRDefault="00927333" w:rsidP="00927333">
      <w:pPr>
        <w:spacing w:after="0" w:line="300" w:lineRule="atLeast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5E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показателей для проведения оценки налоговых расходов</w:t>
      </w:r>
    </w:p>
    <w:p w:rsidR="00927333" w:rsidRPr="006635E4" w:rsidRDefault="00927333" w:rsidP="00927333">
      <w:pPr>
        <w:spacing w:after="0" w:line="240" w:lineRule="atLeast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5E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99"/>
        <w:gridCol w:w="25"/>
        <w:gridCol w:w="2915"/>
      </w:tblGrid>
      <w:tr w:rsidR="00927333" w:rsidRPr="006635E4" w:rsidTr="00A66D41">
        <w:trPr>
          <w:jc w:val="center"/>
        </w:trPr>
        <w:tc>
          <w:tcPr>
            <w:tcW w:w="6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Предоставляемая информация</w:t>
            </w:r>
          </w:p>
        </w:tc>
        <w:tc>
          <w:tcPr>
            <w:tcW w:w="2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Источник данных</w:t>
            </w:r>
          </w:p>
        </w:tc>
      </w:tr>
      <w:tr w:rsidR="00927333" w:rsidRPr="006635E4" w:rsidTr="00A66D41">
        <w:trPr>
          <w:jc w:val="center"/>
        </w:trPr>
        <w:tc>
          <w:tcPr>
            <w:tcW w:w="6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I. Нормативные характеристики налоговых расходов</w:t>
            </w:r>
          </w:p>
        </w:tc>
        <w:tc>
          <w:tcPr>
            <w:tcW w:w="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927333" w:rsidRPr="006635E4" w:rsidTr="00A66D41">
        <w:trPr>
          <w:jc w:val="center"/>
        </w:trPr>
        <w:tc>
          <w:tcPr>
            <w:tcW w:w="6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 Наименования налогов, сборов, по которым предусматриваются налоговые льготы, освобождения и иные преференции по налогам, установленные муниципальными правовыми актами</w:t>
            </w:r>
          </w:p>
        </w:tc>
        <w:tc>
          <w:tcPr>
            <w:tcW w:w="2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Перечень налоговых расходов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администрации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Новочадовского</w:t>
            </w:r>
            <w:proofErr w:type="spellEnd"/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</w:tr>
      <w:tr w:rsidR="00927333" w:rsidRPr="006635E4" w:rsidTr="00A66D41">
        <w:trPr>
          <w:jc w:val="center"/>
        </w:trPr>
        <w:tc>
          <w:tcPr>
            <w:tcW w:w="6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 Муниципальные правовые акты, их структурные единицы, которыми предусматриваются налоговые льготы, освобождения и иные преференции по налогам</w:t>
            </w:r>
          </w:p>
        </w:tc>
        <w:tc>
          <w:tcPr>
            <w:tcW w:w="2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Перечень налоговых расходов ад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министрации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Новочадовского</w:t>
            </w:r>
            <w:proofErr w:type="spellEnd"/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</w:tr>
      <w:tr w:rsidR="00927333" w:rsidRPr="006635E4" w:rsidTr="00A66D41">
        <w:trPr>
          <w:jc w:val="center"/>
        </w:trPr>
        <w:tc>
          <w:tcPr>
            <w:tcW w:w="6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 Категория плательщиков налогов, для которых предусмотрены налоговые льготы, освобождения и иные преференции по налогам, установленные муниципальными правовыми актами</w:t>
            </w:r>
          </w:p>
        </w:tc>
        <w:tc>
          <w:tcPr>
            <w:tcW w:w="2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Перечень налоговых расходов админис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трации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Новочадовского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сельс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кого поселения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Атюрьевского</w:t>
            </w:r>
            <w:proofErr w:type="spellEnd"/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Куратор налоговых расходов</w:t>
            </w:r>
          </w:p>
        </w:tc>
      </w:tr>
      <w:tr w:rsidR="00927333" w:rsidRPr="006635E4" w:rsidTr="00A66D41">
        <w:trPr>
          <w:jc w:val="center"/>
        </w:trPr>
        <w:tc>
          <w:tcPr>
            <w:tcW w:w="6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 Условия предоставления налоговых льгот, освобождений и иных преференций для плательщиков налогов, установленные муниципальными правовыми актами</w:t>
            </w:r>
          </w:p>
        </w:tc>
        <w:tc>
          <w:tcPr>
            <w:tcW w:w="2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Куратор налоговых расходов</w:t>
            </w:r>
          </w:p>
        </w:tc>
      </w:tr>
      <w:tr w:rsidR="00927333" w:rsidRPr="006635E4" w:rsidTr="00A66D41">
        <w:trPr>
          <w:jc w:val="center"/>
        </w:trPr>
        <w:tc>
          <w:tcPr>
            <w:tcW w:w="6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5. Дата вступления в силу положений правовых актов, устанавливающих налоговые льготы, освобождения и иные преференции по налогам</w:t>
            </w:r>
          </w:p>
        </w:tc>
        <w:tc>
          <w:tcPr>
            <w:tcW w:w="2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Куратор налоговых расходов</w:t>
            </w:r>
          </w:p>
        </w:tc>
      </w:tr>
      <w:tr w:rsidR="00927333" w:rsidRPr="006635E4" w:rsidTr="00A66D41">
        <w:trPr>
          <w:jc w:val="center"/>
        </w:trPr>
        <w:tc>
          <w:tcPr>
            <w:tcW w:w="6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6. Даты начала действия, предоставленного муниципальными правовыми актами права на </w:t>
            </w: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налоговые льготы, освобождения и иные преференции по налогам</w:t>
            </w:r>
          </w:p>
        </w:tc>
        <w:tc>
          <w:tcPr>
            <w:tcW w:w="2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Куратор налоговых расходов</w:t>
            </w:r>
          </w:p>
        </w:tc>
      </w:tr>
      <w:tr w:rsidR="00927333" w:rsidRPr="006635E4" w:rsidTr="00A66D41">
        <w:trPr>
          <w:jc w:val="center"/>
        </w:trPr>
        <w:tc>
          <w:tcPr>
            <w:tcW w:w="6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7. Даты прекращения действия, предоставленного муниципальными правовыми актами права на налоговые льготы, освобождения и иные преференции по налогам</w:t>
            </w:r>
          </w:p>
        </w:tc>
        <w:tc>
          <w:tcPr>
            <w:tcW w:w="2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Куратор налоговых расходов</w:t>
            </w:r>
          </w:p>
        </w:tc>
      </w:tr>
      <w:tr w:rsidR="00927333" w:rsidRPr="006635E4" w:rsidTr="00A66D41">
        <w:trPr>
          <w:jc w:val="center"/>
        </w:trPr>
        <w:tc>
          <w:tcPr>
            <w:tcW w:w="6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8. Период действия налоговых льгот, освобождений и иных преференций по налогам, предоставленных муниципальными правовыми актами</w:t>
            </w:r>
          </w:p>
        </w:tc>
        <w:tc>
          <w:tcPr>
            <w:tcW w:w="2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Куратор налоговых расходов</w:t>
            </w:r>
          </w:p>
        </w:tc>
      </w:tr>
      <w:tr w:rsidR="00927333" w:rsidRPr="006635E4" w:rsidTr="00A66D41">
        <w:trPr>
          <w:jc w:val="center"/>
        </w:trPr>
        <w:tc>
          <w:tcPr>
            <w:tcW w:w="6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II</w:t>
            </w:r>
            <w:proofErr w:type="spellEnd"/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 Целевые характеристики налогового расхода</w:t>
            </w:r>
          </w:p>
        </w:tc>
        <w:tc>
          <w:tcPr>
            <w:tcW w:w="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927333" w:rsidRPr="006635E4" w:rsidTr="00A66D41">
        <w:trPr>
          <w:jc w:val="center"/>
        </w:trPr>
        <w:tc>
          <w:tcPr>
            <w:tcW w:w="6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9. Наименование налоговых льгот, освобождений и иных преференций</w:t>
            </w:r>
          </w:p>
        </w:tc>
        <w:tc>
          <w:tcPr>
            <w:tcW w:w="2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Куратор налоговых расходов</w:t>
            </w:r>
          </w:p>
        </w:tc>
      </w:tr>
      <w:tr w:rsidR="00927333" w:rsidRPr="006635E4" w:rsidTr="00A66D41">
        <w:trPr>
          <w:jc w:val="center"/>
        </w:trPr>
        <w:tc>
          <w:tcPr>
            <w:tcW w:w="6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10. Целевая категория налогового расхода</w:t>
            </w:r>
          </w:p>
        </w:tc>
        <w:tc>
          <w:tcPr>
            <w:tcW w:w="2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Куратор налоговых расходов</w:t>
            </w:r>
          </w:p>
        </w:tc>
      </w:tr>
      <w:tr w:rsidR="00927333" w:rsidRPr="006635E4" w:rsidTr="00A66D41">
        <w:trPr>
          <w:jc w:val="center"/>
        </w:trPr>
        <w:tc>
          <w:tcPr>
            <w:tcW w:w="6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11. Цели предоставления налоговых льгот, освобождений и иных преференций</w:t>
            </w:r>
          </w:p>
        </w:tc>
        <w:tc>
          <w:tcPr>
            <w:tcW w:w="2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Куратор налоговых расходов</w:t>
            </w:r>
          </w:p>
        </w:tc>
      </w:tr>
      <w:tr w:rsidR="00927333" w:rsidRPr="006635E4" w:rsidTr="00A66D41">
        <w:trPr>
          <w:jc w:val="center"/>
        </w:trPr>
        <w:tc>
          <w:tcPr>
            <w:tcW w:w="6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12. Размер налоговой ставки, в пределах которой предоставляются налоговые льготы</w:t>
            </w:r>
          </w:p>
        </w:tc>
        <w:tc>
          <w:tcPr>
            <w:tcW w:w="2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Куратор налоговых расходов</w:t>
            </w:r>
          </w:p>
        </w:tc>
      </w:tr>
      <w:tr w:rsidR="00927333" w:rsidRPr="006635E4" w:rsidTr="00A66D41">
        <w:trPr>
          <w:jc w:val="center"/>
        </w:trPr>
        <w:tc>
          <w:tcPr>
            <w:tcW w:w="6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13. Наименования муниципальных программ, нормативных правовых актов, определяющих цели социально-экономической политики</w:t>
            </w:r>
          </w:p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администрации поселения, не относящихся к</w:t>
            </w:r>
          </w:p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муниципальным программам, в целях реализации которых предоставляется налоговый расход</w:t>
            </w:r>
          </w:p>
        </w:tc>
        <w:tc>
          <w:tcPr>
            <w:tcW w:w="2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Перечень налоговых расходов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администрации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Новочадовского</w:t>
            </w:r>
            <w:proofErr w:type="spellEnd"/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</w:tr>
      <w:tr w:rsidR="00927333" w:rsidRPr="006635E4" w:rsidTr="00A66D41">
        <w:trPr>
          <w:jc w:val="center"/>
        </w:trPr>
        <w:tc>
          <w:tcPr>
            <w:tcW w:w="6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14. Показатели (индикаторы) достижения целей муниципальных программ и (или) целей социально-экономической политики</w:t>
            </w:r>
          </w:p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администрации поселения, не относящихся к</w:t>
            </w:r>
          </w:p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муниципальным программам, в связи с предоставлением льгот</w:t>
            </w:r>
          </w:p>
        </w:tc>
        <w:tc>
          <w:tcPr>
            <w:tcW w:w="2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Куратор налоговых расходов</w:t>
            </w:r>
          </w:p>
        </w:tc>
      </w:tr>
      <w:tr w:rsidR="00927333" w:rsidRPr="006635E4" w:rsidTr="00A66D41">
        <w:trPr>
          <w:jc w:val="center"/>
        </w:trPr>
        <w:tc>
          <w:tcPr>
            <w:tcW w:w="6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15. Фактические значения показателей (индикаторов) достижения целей муниципальных программ и (или) целей социально-экономической политики, не относящихся к муниципальным программам, в связи с предоставлением налоговых льгот, освобождений и иных преференций (по годам)</w:t>
            </w:r>
          </w:p>
        </w:tc>
        <w:tc>
          <w:tcPr>
            <w:tcW w:w="2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Куратор налоговых расходов</w:t>
            </w:r>
          </w:p>
        </w:tc>
      </w:tr>
      <w:tr w:rsidR="00927333" w:rsidRPr="006635E4" w:rsidTr="00A66D41">
        <w:trPr>
          <w:jc w:val="center"/>
        </w:trPr>
        <w:tc>
          <w:tcPr>
            <w:tcW w:w="6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16. Прогнозные (оценочные) значения показателей (индикаторов) достижения целей муниципальных программ и (или) целей социально-экономической политики, не относящихся к муниципальным программам, в связи с предоставлением налоговых льгот, освобождений и иных преференций </w:t>
            </w: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на текущий финансовый год, очередной финансовый год и плановый период</w:t>
            </w:r>
          </w:p>
        </w:tc>
        <w:tc>
          <w:tcPr>
            <w:tcW w:w="2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Куратор налоговых расходов</w:t>
            </w:r>
          </w:p>
        </w:tc>
      </w:tr>
      <w:tr w:rsidR="00927333" w:rsidRPr="006635E4" w:rsidTr="00A66D41">
        <w:trPr>
          <w:jc w:val="center"/>
        </w:trPr>
        <w:tc>
          <w:tcPr>
            <w:tcW w:w="6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III</w:t>
            </w:r>
            <w:proofErr w:type="spellEnd"/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 Фискальные характеристики налогового расхода</w:t>
            </w:r>
          </w:p>
        </w:tc>
        <w:tc>
          <w:tcPr>
            <w:tcW w:w="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927333" w:rsidRPr="006635E4" w:rsidTr="00A66D41">
        <w:trPr>
          <w:jc w:val="center"/>
        </w:trPr>
        <w:tc>
          <w:tcPr>
            <w:tcW w:w="6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17. Объем налоговых льгот, освобождений и иных преференций, предоставленных для плательщиков налогов за отчетный финансовый год и за 4 года, предшествующих отчетному финансовому году (тыс. рублей)</w:t>
            </w:r>
          </w:p>
        </w:tc>
        <w:tc>
          <w:tcPr>
            <w:tcW w:w="2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Налоговый орган</w:t>
            </w:r>
          </w:p>
        </w:tc>
      </w:tr>
      <w:tr w:rsidR="00927333" w:rsidRPr="006635E4" w:rsidTr="00A66D41">
        <w:trPr>
          <w:jc w:val="center"/>
        </w:trPr>
        <w:tc>
          <w:tcPr>
            <w:tcW w:w="6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18. Оценка объема предоставленных налоговых льгот, для плательщиков налогов на текущий финансовый год, очередной финансовый год и плановый период (тыс. рублей) (по годам)</w:t>
            </w:r>
          </w:p>
        </w:tc>
        <w:tc>
          <w:tcPr>
            <w:tcW w:w="2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Администрация поселения, Финансовое управление</w:t>
            </w:r>
          </w:p>
        </w:tc>
      </w:tr>
      <w:tr w:rsidR="00927333" w:rsidRPr="006635E4" w:rsidTr="00A66D41">
        <w:trPr>
          <w:jc w:val="center"/>
        </w:trPr>
        <w:tc>
          <w:tcPr>
            <w:tcW w:w="6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19. Общая численность плательщиков налогов в отчетном финансовому году</w:t>
            </w:r>
          </w:p>
        </w:tc>
        <w:tc>
          <w:tcPr>
            <w:tcW w:w="2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Налоговый орган</w:t>
            </w:r>
          </w:p>
        </w:tc>
      </w:tr>
      <w:tr w:rsidR="00927333" w:rsidRPr="006635E4" w:rsidTr="00A66D41">
        <w:trPr>
          <w:jc w:val="center"/>
        </w:trPr>
        <w:tc>
          <w:tcPr>
            <w:tcW w:w="6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20. Численность плательщиков налогов, воспользовавшихся правом на получение налоговых льгот, освобождений и иных преференций, в отчетном финансовому году</w:t>
            </w:r>
          </w:p>
        </w:tc>
        <w:tc>
          <w:tcPr>
            <w:tcW w:w="2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Налоговый орган</w:t>
            </w:r>
          </w:p>
        </w:tc>
      </w:tr>
      <w:tr w:rsidR="00927333" w:rsidRPr="006635E4" w:rsidTr="00A66D41">
        <w:trPr>
          <w:jc w:val="center"/>
        </w:trPr>
        <w:tc>
          <w:tcPr>
            <w:tcW w:w="6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21. Базовый объем налогов, задекларированный для уплаты в бюджет поселения плательщиками налогов по видам налога (тыс. рублей) (по годам)</w:t>
            </w:r>
          </w:p>
        </w:tc>
        <w:tc>
          <w:tcPr>
            <w:tcW w:w="2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Налоговый орган</w:t>
            </w:r>
          </w:p>
        </w:tc>
      </w:tr>
      <w:tr w:rsidR="00927333" w:rsidRPr="006635E4" w:rsidTr="00A66D41">
        <w:trPr>
          <w:jc w:val="center"/>
        </w:trPr>
        <w:tc>
          <w:tcPr>
            <w:tcW w:w="6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22. Объем налогов, задекларированный для уплаты в бюджет поселения плательщиками налогов, имеющими право на налоговые льготы, освобождения и иные преференции за 6 лет, предшествующих отчетному финансовому году (тыс. рублей) (по годам)</w:t>
            </w:r>
          </w:p>
        </w:tc>
        <w:tc>
          <w:tcPr>
            <w:tcW w:w="2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Налоговый орган</w:t>
            </w:r>
          </w:p>
        </w:tc>
      </w:tr>
      <w:tr w:rsidR="00927333" w:rsidRPr="006635E4" w:rsidTr="00A66D41">
        <w:trPr>
          <w:jc w:val="center"/>
        </w:trPr>
        <w:tc>
          <w:tcPr>
            <w:tcW w:w="6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IV</w:t>
            </w:r>
            <w:proofErr w:type="spellEnd"/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 Результат оценки эффективности налогового расхода</w:t>
            </w:r>
          </w:p>
        </w:tc>
        <w:tc>
          <w:tcPr>
            <w:tcW w:w="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927333" w:rsidRPr="006635E4" w:rsidTr="00A66D41">
        <w:trPr>
          <w:jc w:val="center"/>
        </w:trPr>
        <w:tc>
          <w:tcPr>
            <w:tcW w:w="6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23. Целесообразность налогового расхода:</w:t>
            </w:r>
          </w:p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 соответствие налоговых расходов целям муниципальных программ и (или) целям социально-экономической политики администрации поселения, не относящимся к муниципальным программам</w:t>
            </w:r>
          </w:p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2) востребованность плательщиками</w:t>
            </w:r>
          </w:p>
        </w:tc>
        <w:tc>
          <w:tcPr>
            <w:tcW w:w="2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Куратор налоговых расходов</w:t>
            </w:r>
          </w:p>
        </w:tc>
      </w:tr>
      <w:tr w:rsidR="00927333" w:rsidRPr="006635E4" w:rsidTr="00A66D41">
        <w:trPr>
          <w:jc w:val="center"/>
        </w:trPr>
        <w:tc>
          <w:tcPr>
            <w:tcW w:w="6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24. Результативность налогового расхода:</w:t>
            </w:r>
          </w:p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 показатель (индикатор) достижения цели муниципальной программы и (или) цели социально-экономической политики муниципального образования, не относящийся к муниципальным программам, на значение которого оказывает влияние налоговый расход</w:t>
            </w:r>
          </w:p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2) бюджетная эффективность - сравнительный анализ применения альтернативных механизмов достижения цели муниципальной программы</w:t>
            </w:r>
          </w:p>
        </w:tc>
        <w:tc>
          <w:tcPr>
            <w:tcW w:w="2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Куратор налоговых расходов</w:t>
            </w:r>
          </w:p>
        </w:tc>
      </w:tr>
      <w:tr w:rsidR="00927333" w:rsidRPr="006635E4" w:rsidTr="00A66D41">
        <w:trPr>
          <w:jc w:val="center"/>
        </w:trPr>
        <w:tc>
          <w:tcPr>
            <w:tcW w:w="6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25. Предложения по сохранению, отмене, изменению налогового расхода</w:t>
            </w:r>
          </w:p>
        </w:tc>
        <w:tc>
          <w:tcPr>
            <w:tcW w:w="2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7333" w:rsidRPr="006635E4" w:rsidRDefault="00927333" w:rsidP="00A66D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Куратор налоговых расходов</w:t>
            </w:r>
          </w:p>
        </w:tc>
      </w:tr>
      <w:tr w:rsidR="00927333" w:rsidRPr="006635E4" w:rsidTr="00A66D41">
        <w:trPr>
          <w:jc w:val="center"/>
        </w:trPr>
        <w:tc>
          <w:tcPr>
            <w:tcW w:w="639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27333" w:rsidRPr="006635E4" w:rsidRDefault="00927333" w:rsidP="00A66D4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27333" w:rsidRPr="006635E4" w:rsidRDefault="00927333" w:rsidP="00A66D4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27333" w:rsidRPr="006635E4" w:rsidRDefault="00927333" w:rsidP="00A66D4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</w:p>
        </w:tc>
      </w:tr>
    </w:tbl>
    <w:p w:rsidR="00927333" w:rsidRDefault="00927333" w:rsidP="00927333">
      <w:pPr>
        <w:rPr>
          <w:rFonts w:ascii="Times New Roman" w:hAnsi="Times New Roman"/>
          <w:sz w:val="28"/>
          <w:szCs w:val="28"/>
        </w:rPr>
      </w:pPr>
    </w:p>
    <w:p w:rsidR="00927333" w:rsidRDefault="00927333" w:rsidP="00927333">
      <w:pPr>
        <w:rPr>
          <w:rFonts w:ascii="Times New Roman" w:hAnsi="Times New Roman"/>
          <w:sz w:val="28"/>
          <w:szCs w:val="28"/>
        </w:rPr>
      </w:pPr>
    </w:p>
    <w:p w:rsidR="00927333" w:rsidRDefault="00927333" w:rsidP="00927333">
      <w:pPr>
        <w:rPr>
          <w:rFonts w:ascii="Times New Roman" w:hAnsi="Times New Roman"/>
          <w:sz w:val="28"/>
          <w:szCs w:val="28"/>
        </w:rPr>
      </w:pPr>
    </w:p>
    <w:p w:rsidR="00927333" w:rsidRDefault="00927333" w:rsidP="00927333">
      <w:pPr>
        <w:rPr>
          <w:rFonts w:ascii="Times New Roman" w:hAnsi="Times New Roman"/>
          <w:sz w:val="28"/>
          <w:szCs w:val="28"/>
        </w:rPr>
      </w:pPr>
    </w:p>
    <w:p w:rsidR="00152F5E" w:rsidRDefault="00152F5E">
      <w:bookmarkStart w:id="0" w:name="_GoBack"/>
      <w:bookmarkEnd w:id="0"/>
    </w:p>
    <w:sectPr w:rsidR="00152F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333"/>
    <w:rsid w:val="00152F5E"/>
    <w:rsid w:val="00927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045FDE-319F-4575-84E8-EE962ECE5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7333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7333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273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ravo-search.minjust.ru/bigs/showDocument.html?id=33B9FFE1-E1C8-4A89-A587-A20DFAC9F0C1" TargetMode="External"/><Relationship Id="rId4" Type="http://schemas.openxmlformats.org/officeDocument/2006/relationships/hyperlink" Target="https://pravo-search.minjust.ru/bigs/showDocument.html?id=8F21B21C-A408-42C4-B9FE-A939B863C84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3521</Words>
  <Characters>20071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2026-09-07T10:37:00Z</dcterms:created>
  <dcterms:modified xsi:type="dcterms:W3CDTF">2026-09-07T10:37:00Z</dcterms:modified>
</cp:coreProperties>
</file>