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CA98070">
      <w:pPr>
        <w:rPr>
          <w:rFonts w:hint="default" w:ascii="Times New Roman" w:hAnsi="Times New Roman" w:eastAsia="Times New Roman" w:cs="Times New Roman"/>
          <w:sz w:val="28"/>
          <w:szCs w:val="28"/>
        </w:rPr>
      </w:pPr>
    </w:p>
    <w:p w14:paraId="7F92C8F2">
      <w:pPr>
        <w:ind w:left="400" w:leftChars="200" w:firstLine="0" w:firstLineChars="0"/>
        <w:jc w:val="center"/>
        <w:rPr>
          <w:rFonts w:hint="default" w:ascii="Times New Roman" w:hAnsi="Times New Roman" w:eastAsia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eastAsia="Times New Roman" w:cs="Times New Roman"/>
          <w:b/>
          <w:bCs/>
          <w:sz w:val="28"/>
          <w:szCs w:val="28"/>
          <w:lang w:val="ru-RU"/>
        </w:rPr>
        <w:t xml:space="preserve">ОТЧЕТ </w:t>
      </w:r>
    </w:p>
    <w:p w14:paraId="5389369E">
      <w:pPr>
        <w:ind w:left="400" w:leftChars="200" w:firstLine="0" w:firstLineChars="0"/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eastAsia="Times New Roman" w:cs="Times New Roman"/>
          <w:b/>
          <w:bCs/>
          <w:sz w:val="28"/>
          <w:szCs w:val="28"/>
        </w:rPr>
        <w:t>О ВЫПОЛНЕНИИ МУНИЦИПАЛЬНОЙ ПРОГРАММЫ</w:t>
      </w:r>
    </w:p>
    <w:p w14:paraId="2E24E34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«Профилактика по противодействию  правонарушениям и преступлениям, совершенным с использованием информационных телекоммуникационных технологий (далее ИТТ), с одновременным включением в данную программу информационно-просветительских мероприятий по «цифровой гигиене»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на 2025-2027 годы</w:t>
      </w:r>
    </w:p>
    <w:p w14:paraId="2FDFA4B8"/>
    <w:p w14:paraId="07144D9C"/>
    <w:p w14:paraId="6AD1A48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II. Цели, задачи, сроки и этапы реализации Программы</w:t>
      </w:r>
    </w:p>
    <w:p w14:paraId="7EF199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CB06AC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Основной целью Программы является совершенствование на территории Кишалинского сельского поселения Атюрьевкого муниципального района системы профилактики преступлений, совершаемых с использованием информационно-телекоммуникационных технологий. </w:t>
      </w:r>
    </w:p>
    <w:p w14:paraId="227006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Задачами Программы являются: </w:t>
      </w:r>
    </w:p>
    <w:p w14:paraId="04972B2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1)снижение количества зарегистрированных на территории Кишалинского сельского поселения Атюрьевкого муниципального района преступлений, совершаемых с использованием информационно-телекоммуникационных технологий; </w:t>
      </w:r>
    </w:p>
    <w:p w14:paraId="3DAFD7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2) обеспечение доступности информации о видах и способах совершения преступлений с использованием информационно-телекоммуникационных технологий, а также о возможных мерах по защите от противоправных деяний; </w:t>
      </w:r>
    </w:p>
    <w:p w14:paraId="1AB08C3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увеличение охвата информационным воздействием в процессе проведения профилактических мероприятий различных социальных и возрастных групп населения Кишалинского сельского поселения Атюрьевкого муниципального района;</w:t>
      </w:r>
    </w:p>
    <w:p w14:paraId="1F9A30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рост числа субъектов, вовлеченных в профилактическую работу по предупреждению совершения преступлений в сфере информационно-телекоммуникационных технологий.</w:t>
      </w:r>
    </w:p>
    <w:p w14:paraId="6A20F3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Программа разработана на период 2025-2027 годы.</w:t>
      </w:r>
    </w:p>
    <w:p w14:paraId="10BF2D8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F0D70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AE1087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sz w:val="28"/>
          <w:szCs w:val="28"/>
        </w:rPr>
        <w:t>. Целевые индикаторы достижения целей</w:t>
      </w:r>
    </w:p>
    <w:p w14:paraId="5A2C216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 решения задач, основные ожидаемые </w:t>
      </w:r>
    </w:p>
    <w:p w14:paraId="14DBCF5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конечные результаты Программы</w:t>
      </w:r>
    </w:p>
    <w:p w14:paraId="31C53D8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F641387">
      <w:pPr>
        <w:numPr>
          <w:ilvl w:val="0"/>
          <w:numId w:val="1"/>
        </w:numPr>
        <w:tabs>
          <w:tab w:val="left" w:pos="709"/>
        </w:tabs>
        <w:spacing w:after="0" w:line="240" w:lineRule="auto"/>
        <w:ind w:right="-14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Целевые индикаторы Программы и их значения по годам представлены в приложении 1 к настоящей Программе.</w:t>
      </w:r>
    </w:p>
    <w:p w14:paraId="48AEC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Реализация настоящей Программы позволит достичь следующих результатов: </w:t>
      </w:r>
    </w:p>
    <w:p w14:paraId="64C4F7D3">
      <w:pPr>
        <w:spacing w:after="0" w:line="240" w:lineRule="auto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1) снижение количества преступлений, совершаемых с использованием информационно-телекоммуникационных технологий;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(преступлений на данный период нет)</w:t>
      </w:r>
    </w:p>
    <w:p w14:paraId="5042800D">
      <w:pPr>
        <w:spacing w:after="0" w:line="240" w:lineRule="auto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2) распространение разработанных информационно-аналитических материалов профилактического характера, направленных на предупреждение преступлений, совершаемых с использованием информационно-телекоммуникационных технологий;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(разработано и распространено две информационных листовки)</w:t>
      </w:r>
    </w:p>
    <w:p w14:paraId="1BE06A47">
      <w:pPr>
        <w:spacing w:after="0" w:line="240" w:lineRule="auto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3) распространение наглядных материалов, содержащих информацию о профилактике преступлений, совершаемых с использованием информационно-телекоммуникационных технологий;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(распространено наглядных материалов 14 зкз.)</w:t>
      </w:r>
    </w:p>
    <w:p w14:paraId="0A96DD13">
      <w:pPr>
        <w:spacing w:after="0" w:line="240" w:lineRule="auto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4) увеличение количества граждан, охваченных проводимыми профилактическими мероприятиями;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(увеличение охвата граждан на 12%)</w:t>
      </w:r>
    </w:p>
    <w:p w14:paraId="0B6F85D3">
      <w:pPr>
        <w:spacing w:after="0" w:line="240" w:lineRule="auto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5) увеличение уровня удовлетворенности граждан количеством информации о преступлениях, совершаемых с использованием информационно-телекоммуникационных технологий и о методах защиты от преступных посягательств.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(удовретворенность- 87%)</w:t>
      </w:r>
    </w:p>
    <w:p w14:paraId="7D6B841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1B58A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27F0A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  <w:sectPr>
          <w:headerReference r:id="rId5" w:type="first"/>
          <w:footerReference r:id="rId8" w:type="first"/>
          <w:headerReference r:id="rId3" w:type="default"/>
          <w:footerReference r:id="rId6" w:type="default"/>
          <w:headerReference r:id="rId4" w:type="even"/>
          <w:footerReference r:id="rId7" w:type="even"/>
          <w:pgSz w:w="11906" w:h="16838"/>
          <w:pgMar w:top="1134" w:right="851" w:bottom="709" w:left="1701" w:header="709" w:footer="709" w:gutter="0"/>
          <w:cols w:space="708" w:num="1"/>
          <w:titlePg/>
          <w:docGrid w:linePitch="360" w:charSpace="0"/>
        </w:sectPr>
      </w:pPr>
    </w:p>
    <w:p w14:paraId="2E39F3C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IV</w:t>
      </w:r>
      <w:r>
        <w:rPr>
          <w:rFonts w:ascii="Times New Roman" w:hAnsi="Times New Roman" w:cs="Times New Roman"/>
          <w:sz w:val="28"/>
          <w:szCs w:val="28"/>
        </w:rPr>
        <w:t>. Обобщенная характеристика мероприятий Программы</w:t>
      </w:r>
    </w:p>
    <w:p w14:paraId="579F47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F5D6A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9.   Обобщенная характеристика мероприятий Программы представлена в приложении 2 к настоящей Программе.</w:t>
      </w:r>
    </w:p>
    <w:p w14:paraId="596A40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9B7EFD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6FB373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</w:rPr>
        <w:t>. Обоснование объема финансовых ресурсов,</w:t>
      </w:r>
    </w:p>
    <w:p w14:paraId="0E976AC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необходимых для реализации Программы</w:t>
      </w:r>
    </w:p>
    <w:p w14:paraId="1A4D1C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8E9DE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10. Реализацию мероприятий  Программы планируется осуществлять без финансирования. </w:t>
      </w:r>
    </w:p>
    <w:p w14:paraId="0E0CE63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BE670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00465C2">
      <w:pPr>
        <w:spacing w:after="0" w:line="240" w:lineRule="auto"/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VI. Механизм реализации Программ</w:t>
      </w:r>
      <w:r>
        <w:rPr>
          <w:rFonts w:ascii="Times New Roman" w:hAnsi="Times New Roman" w:cs="Times New Roman"/>
          <w:sz w:val="28"/>
          <w:szCs w:val="28"/>
          <w:lang w:val="ru-RU"/>
        </w:rPr>
        <w:t>ы</w:t>
      </w:r>
    </w:p>
    <w:p w14:paraId="07EA30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FD344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 Ответственным исполнителем Программы является Администрация Кишалинского сельского поселения Атюрьевкого муниципального района.</w:t>
      </w:r>
    </w:p>
    <w:p w14:paraId="5C8038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12. Ответственность за своевременное, качественное выполнение мероприятий по реализации Программы несет ответственный исполнитель Программы. </w:t>
      </w:r>
    </w:p>
    <w:p w14:paraId="54714A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37DB7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  <w:sectPr>
          <w:headerReference r:id="rId9" w:type="default"/>
          <w:type w:val="continuous"/>
          <w:pgSz w:w="11906" w:h="16838"/>
          <w:pgMar w:top="1134" w:right="851" w:bottom="1134" w:left="1701" w:header="709" w:footer="709" w:gutter="0"/>
          <w:cols w:space="708" w:num="1"/>
          <w:titlePg/>
          <w:docGrid w:linePitch="360" w:charSpace="0"/>
        </w:sectPr>
      </w:pPr>
    </w:p>
    <w:p w14:paraId="18D69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07F404E">
      <w:pPr>
        <w:spacing w:after="0" w:line="240" w:lineRule="auto"/>
        <w:ind w:left="8505"/>
        <w:jc w:val="center"/>
        <w:rPr>
          <w:rFonts w:ascii="Times New Roman" w:hAnsi="Times New Roman" w:cs="Times New Roman"/>
          <w:sz w:val="28"/>
          <w:szCs w:val="28"/>
        </w:rPr>
      </w:pPr>
    </w:p>
    <w:p w14:paraId="416BCB2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Перечень целевых индикаторов  программы </w:t>
      </w:r>
    </w:p>
    <w:p w14:paraId="6D23EBF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«Профилактика по противодействию  правонарушениям и преступлениям,                                                                                       совершенным с использованием информационных телекоммуникационных технологий (далее ИТТ),                                               с одновременным включением в данную программу информационно-просветительских                                                            мероприятий по «цифровой гигиене»» на 2025-2027 годы</w:t>
      </w:r>
    </w:p>
    <w:tbl>
      <w:tblPr>
        <w:tblStyle w:val="6"/>
        <w:tblW w:w="10776" w:type="dxa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5"/>
        <w:gridCol w:w="6073"/>
        <w:gridCol w:w="853"/>
        <w:gridCol w:w="1588"/>
        <w:gridCol w:w="1307"/>
      </w:tblGrid>
      <w:tr w14:paraId="1425E55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322" w:hRule="atLeast"/>
          <w:jc w:val="center"/>
        </w:trPr>
        <w:tc>
          <w:tcPr>
            <w:tcW w:w="955" w:type="dxa"/>
            <w:vMerge w:val="restart"/>
          </w:tcPr>
          <w:p w14:paraId="2CFA28D7">
            <w:pPr>
              <w:spacing w:after="0" w:line="240" w:lineRule="auto"/>
              <w:ind w:left="-61" w:right="-108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6073" w:type="dxa"/>
            <w:vMerge w:val="restart"/>
          </w:tcPr>
          <w:p w14:paraId="6ADF098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Наименование целевого индикатора</w:t>
            </w:r>
          </w:p>
        </w:tc>
        <w:tc>
          <w:tcPr>
            <w:tcW w:w="853" w:type="dxa"/>
            <w:vMerge w:val="restart"/>
          </w:tcPr>
          <w:p w14:paraId="0075D92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Единица</w:t>
            </w:r>
          </w:p>
          <w:p w14:paraId="41E32EB4">
            <w:pPr>
              <w:spacing w:after="0" w:line="240" w:lineRule="auto"/>
              <w:ind w:left="-52" w:right="-108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измерения</w:t>
            </w:r>
          </w:p>
        </w:tc>
        <w:tc>
          <w:tcPr>
            <w:tcW w:w="1588" w:type="dxa"/>
            <w:vMerge w:val="restart"/>
          </w:tcPr>
          <w:p w14:paraId="51065B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Алгоритмы формирования показателя и методические пояснения</w:t>
            </w:r>
          </w:p>
        </w:tc>
        <w:tc>
          <w:tcPr>
            <w:tcW w:w="1307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BC66F63">
            <w:pPr>
              <w:tabs>
                <w:tab w:val="left" w:pos="2800"/>
              </w:tabs>
              <w:spacing w:after="0" w:line="240" w:lineRule="auto"/>
              <w:ind w:right="392" w:rightChars="1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Значение целевого индикатора</w:t>
            </w:r>
          </w:p>
        </w:tc>
      </w:tr>
      <w:tr w14:paraId="5858F97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jc w:val="center"/>
        </w:trPr>
        <w:tc>
          <w:tcPr>
            <w:tcW w:w="955" w:type="dxa"/>
            <w:vMerge w:val="continue"/>
          </w:tcPr>
          <w:p w14:paraId="507C9B9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6073" w:type="dxa"/>
            <w:vMerge w:val="continue"/>
          </w:tcPr>
          <w:p w14:paraId="4E66CFF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853" w:type="dxa"/>
            <w:vMerge w:val="continue"/>
          </w:tcPr>
          <w:p w14:paraId="789A212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1588" w:type="dxa"/>
            <w:vMerge w:val="continue"/>
          </w:tcPr>
          <w:p w14:paraId="5915EA3D">
            <w:pPr>
              <w:spacing w:after="0" w:line="240" w:lineRule="auto"/>
              <w:ind w:left="-183" w:right="-7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1307" w:type="dxa"/>
          </w:tcPr>
          <w:p w14:paraId="4EFC6E21">
            <w:pPr>
              <w:spacing w:after="0" w:line="240" w:lineRule="auto"/>
              <w:ind w:left="-183" w:right="-7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2025 г</w:t>
            </w:r>
          </w:p>
          <w:p w14:paraId="020927EA">
            <w:pPr>
              <w:spacing w:after="0" w:line="240" w:lineRule="auto"/>
              <w:ind w:left="-183" w:right="-55" w:rightChars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77FC6C3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jc w:val="center"/>
        </w:trPr>
        <w:tc>
          <w:tcPr>
            <w:tcW w:w="955" w:type="dxa"/>
          </w:tcPr>
          <w:p w14:paraId="2979019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6073" w:type="dxa"/>
          </w:tcPr>
          <w:p w14:paraId="7073469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2</w:t>
            </w:r>
          </w:p>
        </w:tc>
        <w:tc>
          <w:tcPr>
            <w:tcW w:w="853" w:type="dxa"/>
          </w:tcPr>
          <w:p w14:paraId="1D92794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3</w:t>
            </w:r>
          </w:p>
        </w:tc>
        <w:tc>
          <w:tcPr>
            <w:tcW w:w="1588" w:type="dxa"/>
          </w:tcPr>
          <w:p w14:paraId="7C6C068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4</w:t>
            </w:r>
          </w:p>
        </w:tc>
        <w:tc>
          <w:tcPr>
            <w:tcW w:w="1307" w:type="dxa"/>
          </w:tcPr>
          <w:p w14:paraId="64E944F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5</w:t>
            </w:r>
          </w:p>
          <w:p w14:paraId="3F85CF5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43C2430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jc w:val="center"/>
        </w:trPr>
        <w:tc>
          <w:tcPr>
            <w:tcW w:w="955" w:type="dxa"/>
          </w:tcPr>
          <w:p w14:paraId="5D52AB6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1.</w:t>
            </w:r>
          </w:p>
          <w:p w14:paraId="753845A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6073" w:type="dxa"/>
          </w:tcPr>
          <w:p w14:paraId="20B75C98">
            <w:pPr>
              <w:spacing w:after="0" w:line="240" w:lineRule="auto"/>
              <w:jc w:val="both"/>
              <w:rPr>
                <w:rStyle w:val="7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зарегистрированных преступлений, совершаемых с использованием информационно-телекоммуникационных технологий (краж, мошенничеств, вымогательств)</w:t>
            </w:r>
          </w:p>
        </w:tc>
        <w:tc>
          <w:tcPr>
            <w:tcW w:w="853" w:type="dxa"/>
          </w:tcPr>
          <w:p w14:paraId="4C7CA5C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единиц</w:t>
            </w:r>
          </w:p>
        </w:tc>
        <w:tc>
          <w:tcPr>
            <w:tcW w:w="1588" w:type="dxa"/>
          </w:tcPr>
          <w:p w14:paraId="64B79A1C"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Фактическое количество преступлений</w:t>
            </w:r>
          </w:p>
        </w:tc>
        <w:tc>
          <w:tcPr>
            <w:tcW w:w="1307" w:type="dxa"/>
          </w:tcPr>
          <w:p w14:paraId="5B29AFD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0</w:t>
            </w:r>
          </w:p>
          <w:p w14:paraId="5304968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0D6BF3A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jc w:val="center"/>
        </w:trPr>
        <w:tc>
          <w:tcPr>
            <w:tcW w:w="955" w:type="dxa"/>
          </w:tcPr>
          <w:p w14:paraId="691A7D1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2.</w:t>
            </w:r>
          </w:p>
          <w:p w14:paraId="10E976A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6073" w:type="dxa"/>
          </w:tcPr>
          <w:p w14:paraId="672F82BF">
            <w:pPr>
              <w:spacing w:after="0" w:line="240" w:lineRule="auto"/>
              <w:jc w:val="both"/>
              <w:rPr>
                <w:rStyle w:val="7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Размещение в общественных местах, на официальных сайтах, в социальных интернет сетях, информации по профилактике преступлений, совершаемых с использованием информационно-коммуникационных технологий, а также об основных видах мошенничеств, способах их профилактики и пресечения</w:t>
            </w:r>
          </w:p>
        </w:tc>
        <w:tc>
          <w:tcPr>
            <w:tcW w:w="853" w:type="dxa"/>
          </w:tcPr>
          <w:p w14:paraId="1D7F248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единиц</w:t>
            </w:r>
          </w:p>
        </w:tc>
        <w:tc>
          <w:tcPr>
            <w:tcW w:w="1588" w:type="dxa"/>
          </w:tcPr>
          <w:p w14:paraId="6AE67A4C"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Фактическое количество </w:t>
            </w:r>
          </w:p>
          <w:p w14:paraId="7CF54ED7"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размещенной</w:t>
            </w:r>
          </w:p>
          <w:p w14:paraId="70F36455"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информации</w:t>
            </w:r>
          </w:p>
        </w:tc>
        <w:tc>
          <w:tcPr>
            <w:tcW w:w="1307" w:type="dxa"/>
          </w:tcPr>
          <w:p w14:paraId="37CFDE0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25</w:t>
            </w:r>
          </w:p>
          <w:p w14:paraId="5CE4721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2927683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jc w:val="center"/>
        </w:trPr>
        <w:tc>
          <w:tcPr>
            <w:tcW w:w="955" w:type="dxa"/>
          </w:tcPr>
          <w:p w14:paraId="2473B24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3.</w:t>
            </w:r>
          </w:p>
        </w:tc>
        <w:tc>
          <w:tcPr>
            <w:tcW w:w="6073" w:type="dxa"/>
          </w:tcPr>
          <w:p w14:paraId="0764FE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проведенных мероприятий по профилактике преступлений, совершаемых с использованием информационно-телекоммуникационных технологий</w:t>
            </w:r>
          </w:p>
        </w:tc>
        <w:tc>
          <w:tcPr>
            <w:tcW w:w="853" w:type="dxa"/>
          </w:tcPr>
          <w:p w14:paraId="4F17C4C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единиц</w:t>
            </w:r>
          </w:p>
        </w:tc>
        <w:tc>
          <w:tcPr>
            <w:tcW w:w="1588" w:type="dxa"/>
          </w:tcPr>
          <w:p w14:paraId="29D07AE4"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Фактическое количество проведенных мероприятий</w:t>
            </w:r>
          </w:p>
        </w:tc>
        <w:tc>
          <w:tcPr>
            <w:tcW w:w="1307" w:type="dxa"/>
          </w:tcPr>
          <w:p w14:paraId="1186DEA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8</w:t>
            </w:r>
          </w:p>
          <w:p w14:paraId="48EB682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</w:tbl>
    <w:p w14:paraId="2CC91D4D">
      <w:pPr>
        <w:tabs>
          <w:tab w:val="left" w:pos="8647"/>
        </w:tabs>
        <w:spacing w:after="0" w:line="240" w:lineRule="auto"/>
        <w:ind w:left="8505"/>
        <w:jc w:val="center"/>
        <w:rPr>
          <w:rFonts w:ascii="Times New Roman" w:hAnsi="Times New Roman" w:cs="Times New Roman"/>
          <w:sz w:val="28"/>
          <w:szCs w:val="28"/>
        </w:rPr>
      </w:pPr>
    </w:p>
    <w:p w14:paraId="3EA955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AB6AB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74F645A">
      <w:pPr>
        <w:spacing w:after="0" w:line="240" w:lineRule="auto"/>
        <w:ind w:left="8505"/>
        <w:rPr>
          <w:rFonts w:ascii="Times New Roman" w:hAnsi="Times New Roman" w:cs="Times New Roman"/>
          <w:sz w:val="28"/>
          <w:szCs w:val="28"/>
        </w:rPr>
      </w:pPr>
    </w:p>
    <w:p w14:paraId="1E8B845F">
      <w:pPr>
        <w:rPr>
          <w:rFonts w:hint="default"/>
          <w:lang w:val="ru-RU"/>
        </w:rPr>
      </w:pPr>
      <w:bookmarkStart w:id="0" w:name="_GoBack"/>
      <w:bookmarkEnd w:id="0"/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Arial Unicode MS">
    <w:panose1 w:val="020B0604020202020204"/>
    <w:charset w:val="80"/>
    <w:family w:val="swiss"/>
    <w:pitch w:val="default"/>
    <w:sig w:usb0="FFFFFFFF" w:usb1="E9FFFFFF" w:usb2="0000003F" w:usb3="00000000" w:csb0="603F01FF" w:csb1="FFFF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016B553">
    <w:pPr>
      <w:pStyle w:val="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878F8ED">
    <w:pPr>
      <w:pStyle w:val="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348B526">
    <w:pPr>
      <w:pStyle w:val="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0258379"/>
    </w:sdtPr>
    <w:sdtContent>
      <w:p w14:paraId="776CB3ED">
        <w:pPr>
          <w:pStyle w:val="4"/>
          <w:jc w:val="center"/>
        </w:pPr>
        <w:r>
          <w:rPr>
            <w:rFonts w:ascii="Times New Roman" w:hAnsi="Times New Roman" w:cs="Times New Roman"/>
            <w:sz w:val="28"/>
            <w:szCs w:val="28"/>
          </w:rPr>
          <w:fldChar w:fldCharType="begin"/>
        </w:r>
        <w:r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>
          <w:rPr>
            <w:rFonts w:ascii="Times New Roman" w:hAnsi="Times New Roman" w:cs="Times New Roman"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sz w:val="28"/>
            <w:szCs w:val="28"/>
          </w:rPr>
          <w:t>5</w:t>
        </w:r>
        <w:r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C409E35">
    <w:pPr>
      <w:pStyle w:val="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92E15F0">
    <w:pPr>
      <w:pStyle w:val="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7264571"/>
    </w:sdtPr>
    <w:sdtContent>
      <w:p w14:paraId="1D209F78">
        <w:pPr>
          <w:pStyle w:val="4"/>
          <w:jc w:val="center"/>
        </w:pPr>
        <w:r>
          <w:rPr>
            <w:rFonts w:ascii="Times New Roman" w:hAnsi="Times New Roman" w:cs="Times New Roman"/>
            <w:sz w:val="28"/>
            <w:szCs w:val="28"/>
          </w:rPr>
          <w:fldChar w:fldCharType="begin"/>
        </w:r>
        <w:r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>
          <w:rPr>
            <w:rFonts w:ascii="Times New Roman" w:hAnsi="Times New Roman" w:cs="Times New Roman"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sz w:val="28"/>
            <w:szCs w:val="28"/>
          </w:rPr>
          <w:t>9</w:t>
        </w:r>
        <w:r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E4B114F"/>
    <w:multiLevelType w:val="singleLevel"/>
    <w:tmpl w:val="CE4B114F"/>
    <w:lvl w:ilvl="0" w:tentative="0">
      <w:start w:val="7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2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ABE12FE"/>
    <w:rsid w:val="52E00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99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header"/>
    <w:basedOn w:val="1"/>
    <w:qFormat/>
    <w:uiPriority w:val="99"/>
    <w:pPr>
      <w:suppressLineNumbers/>
      <w:tabs>
        <w:tab w:val="center" w:pos="4677"/>
        <w:tab w:val="right" w:pos="9355"/>
      </w:tabs>
      <w:suppressAutoHyphens/>
      <w:spacing w:after="0" w:line="100" w:lineRule="atLeast"/>
    </w:pPr>
    <w:rPr>
      <w:rFonts w:ascii="Calibri" w:hAnsi="Calibri" w:eastAsia="Arial Unicode MS" w:cs="Tahoma"/>
      <w:lang w:eastAsia="ar-SA"/>
    </w:rPr>
  </w:style>
  <w:style w:type="paragraph" w:styleId="5">
    <w:name w:val="footer"/>
    <w:basedOn w:val="1"/>
    <w:qFormat/>
    <w:uiPriority w:val="0"/>
    <w:pPr>
      <w:suppressLineNumbers/>
      <w:tabs>
        <w:tab w:val="center" w:pos="4677"/>
        <w:tab w:val="right" w:pos="9355"/>
      </w:tabs>
      <w:suppressAutoHyphens/>
      <w:spacing w:after="0" w:line="100" w:lineRule="atLeast"/>
    </w:pPr>
    <w:rPr>
      <w:rFonts w:ascii="Calibri" w:hAnsi="Calibri" w:eastAsia="Arial Unicode MS" w:cs="Tahoma"/>
      <w:lang w:eastAsia="ar-SA"/>
    </w:rPr>
  </w:style>
  <w:style w:type="table" w:styleId="6">
    <w:name w:val="Table Grid"/>
    <w:basedOn w:val="3"/>
    <w:qFormat/>
    <w:uiPriority w:val="59"/>
    <w:pPr>
      <w:spacing w:after="0" w:line="240" w:lineRule="auto"/>
      <w:jc w:val="both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Font Style31"/>
    <w:basedOn w:val="2"/>
    <w:qFormat/>
    <w:uiPriority w:val="0"/>
    <w:rPr>
      <w:rFonts w:hint="default" w:ascii="Times New Roman" w:hAnsi="Times New Roman" w:cs="Times New Roman"/>
      <w:sz w:val="24"/>
      <w:szCs w:val="24"/>
    </w:rPr>
  </w:style>
  <w:style w:type="paragraph" w:customStyle="1" w:styleId="8">
    <w:name w:val="Style2"/>
    <w:basedOn w:val="1"/>
    <w:qFormat/>
    <w:uiPriority w:val="0"/>
    <w:pPr>
      <w:widowControl w:val="0"/>
      <w:autoSpaceDE w:val="0"/>
      <w:autoSpaceDN w:val="0"/>
      <w:adjustRightInd w:val="0"/>
      <w:spacing w:after="0" w:line="300" w:lineRule="exact"/>
      <w:jc w:val="center"/>
    </w:pPr>
    <w:rPr>
      <w:rFonts w:ascii="Times New Roman" w:hAnsi="Times New Roman" w:eastAsia="Times New Roman" w:cs="Times New Roman"/>
      <w:sz w:val="24"/>
      <w:szCs w:val="24"/>
    </w:rPr>
  </w:style>
  <w:style w:type="character" w:customStyle="1" w:styleId="9">
    <w:name w:val="Font Style30"/>
    <w:basedOn w:val="2"/>
    <w:qFormat/>
    <w:uiPriority w:val="0"/>
    <w:rPr>
      <w:rFonts w:hint="default" w:ascii="Times New Roman" w:hAnsi="Times New Roman" w:cs="Times New Roman"/>
      <w:b/>
      <w:bCs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eader" Target="header4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numbering" Target="numbering.xml"/><Relationship Id="rId10" Type="http://schemas.openxmlformats.org/officeDocument/2006/relationships/theme" Target="theme/theme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15</TotalTime>
  <ScaleCrop>false</ScaleCrop>
  <LinksUpToDate>false</LinksUpToDate>
  <CharactersWithSpaces>0</CharactersWithSpaces>
  <Application>WPS Office_12.1.0.28032_F1E327BC-269C-435d-A152-05C5408002CA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2026-08-17T07:30:23Z</dcterms:created>
  <dc:creator>User</dc:creator>
  <cp:lastModifiedBy>WPS_1779262517</cp:lastModifiedBy>
  <dcterms:modified xsi:type="dcterms:W3CDTF">2026-08-17T08:18:35Z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1049-12.1.0.28032</vt:lpwstr>
  </property>
  <property fmtid="{D5CDD505-2E9C-101B-9397-08002B2CF9AE}" pid="3" name="KSOTemplateDocerSaveRecord">
    <vt:lpwstr>eyJoZGlkIjoiYTA4OTk3ZjkwYjFjMTZhYjUzNDNiMDhlMWRiZTJlNDYiLCJ1c2VySWQiOiI4MjQ2MzUzNjYzNzEifQ==</vt:lpwstr>
  </property>
  <property fmtid="{D5CDD505-2E9C-101B-9397-08002B2CF9AE}" pid="4" name="ICV">
    <vt:lpwstr>3A02C97FE9BA4607B4AC7784CA634C32_12</vt:lpwstr>
  </property>
</Properties>
</file>