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455" w:rsidRDefault="00DF6455" w:rsidP="00DF6455">
      <w:pPr>
        <w:suppressAutoHyphens/>
        <w:spacing w:after="0" w:line="240" w:lineRule="auto"/>
        <w:jc w:val="center"/>
        <w:rPr>
          <w:rFonts w:ascii="Times New Roman" w:eastAsia="Times New Roman" w:hAnsi="Times New Roman"/>
          <w:b/>
          <w:sz w:val="32"/>
          <w:szCs w:val="32"/>
          <w:lang w:eastAsia="ar-SA"/>
        </w:rPr>
      </w:pPr>
      <w:r>
        <w:rPr>
          <w:rFonts w:ascii="Times New Roman" w:eastAsia="Times New Roman" w:hAnsi="Times New Roman"/>
          <w:b/>
          <w:sz w:val="32"/>
          <w:szCs w:val="32"/>
          <w:lang w:eastAsia="ar-SA"/>
        </w:rPr>
        <w:t>РЕСПУБЛИКА МОРДОВИЯ</w:t>
      </w:r>
    </w:p>
    <w:p w:rsidR="00DF6455" w:rsidRDefault="00DF6455" w:rsidP="00DF6455">
      <w:pPr>
        <w:suppressAutoHyphens/>
        <w:spacing w:after="0" w:line="240" w:lineRule="auto"/>
        <w:jc w:val="center"/>
        <w:rPr>
          <w:rFonts w:ascii="Times New Roman" w:eastAsia="Times New Roman" w:hAnsi="Times New Roman"/>
          <w:b/>
          <w:sz w:val="32"/>
          <w:szCs w:val="32"/>
          <w:lang w:eastAsia="ar-SA"/>
        </w:rPr>
      </w:pPr>
      <w:r>
        <w:rPr>
          <w:rFonts w:ascii="Times New Roman" w:eastAsia="Times New Roman" w:hAnsi="Times New Roman"/>
          <w:b/>
          <w:sz w:val="32"/>
          <w:szCs w:val="32"/>
          <w:lang w:eastAsia="ar-SA"/>
        </w:rPr>
        <w:t xml:space="preserve">АДМИНИСТРАЦИЯ </w:t>
      </w:r>
    </w:p>
    <w:p w:rsidR="00DF6455" w:rsidRDefault="00DF6455" w:rsidP="00DF6455">
      <w:pPr>
        <w:suppressAutoHyphens/>
        <w:spacing w:after="0" w:line="240" w:lineRule="auto"/>
        <w:jc w:val="center"/>
        <w:rPr>
          <w:rFonts w:ascii="Times New Roman" w:eastAsia="Times New Roman" w:hAnsi="Times New Roman"/>
          <w:b/>
          <w:sz w:val="32"/>
          <w:szCs w:val="32"/>
          <w:lang w:eastAsia="ar-SA"/>
        </w:rPr>
      </w:pPr>
      <w:r>
        <w:rPr>
          <w:rFonts w:ascii="Times New Roman" w:eastAsia="Times New Roman" w:hAnsi="Times New Roman"/>
          <w:b/>
          <w:sz w:val="32"/>
          <w:szCs w:val="32"/>
          <w:lang w:eastAsia="ar-SA"/>
        </w:rPr>
        <w:t xml:space="preserve">НОВОЧАДОВСКОГО СЕЛЬСКОГО ПОСЕЛЕНИЯ АТЮРЬЕВСКОГО МУНИЦИПАЛЬНОГО РАЙОНА </w:t>
      </w:r>
    </w:p>
    <w:p w:rsidR="00DF6455" w:rsidRDefault="00DF6455" w:rsidP="00DF6455">
      <w:pPr>
        <w:suppressAutoHyphens/>
        <w:spacing w:after="0" w:line="240" w:lineRule="auto"/>
        <w:jc w:val="center"/>
        <w:rPr>
          <w:rFonts w:ascii="Times New Roman" w:eastAsia="Times New Roman" w:hAnsi="Times New Roman"/>
          <w:sz w:val="28"/>
          <w:szCs w:val="28"/>
          <w:lang w:eastAsia="ar-SA"/>
        </w:rPr>
      </w:pPr>
    </w:p>
    <w:p w:rsidR="00DF6455" w:rsidRDefault="00DF6455" w:rsidP="00DF6455">
      <w:pPr>
        <w:suppressAutoHyphens/>
        <w:spacing w:after="0" w:line="240" w:lineRule="auto"/>
        <w:jc w:val="center"/>
        <w:rPr>
          <w:rFonts w:ascii="Times New Roman" w:eastAsia="Times New Roman" w:hAnsi="Times New Roman"/>
          <w:sz w:val="28"/>
          <w:szCs w:val="28"/>
          <w:lang w:eastAsia="ar-SA"/>
        </w:rPr>
      </w:pPr>
    </w:p>
    <w:p w:rsidR="00DF6455" w:rsidRDefault="00DF6455" w:rsidP="00DF6455">
      <w:pPr>
        <w:suppressAutoHyphens/>
        <w:spacing w:after="0" w:line="240" w:lineRule="auto"/>
        <w:jc w:val="center"/>
        <w:rPr>
          <w:rFonts w:ascii="Times New Roman" w:eastAsia="Times New Roman" w:hAnsi="Times New Roman"/>
          <w:sz w:val="28"/>
          <w:szCs w:val="28"/>
          <w:lang w:eastAsia="ar-SA"/>
        </w:rPr>
      </w:pPr>
    </w:p>
    <w:p w:rsidR="00DF6455" w:rsidRDefault="00DF6455" w:rsidP="00DF6455">
      <w:pPr>
        <w:suppressAutoHyphens/>
        <w:spacing w:after="0" w:line="240" w:lineRule="auto"/>
        <w:jc w:val="center"/>
        <w:rPr>
          <w:rFonts w:ascii="Times New Roman" w:eastAsia="Times New Roman" w:hAnsi="Times New Roman"/>
          <w:sz w:val="28"/>
          <w:szCs w:val="28"/>
          <w:lang w:eastAsia="ar-SA"/>
        </w:rPr>
      </w:pPr>
    </w:p>
    <w:p w:rsidR="00DF6455" w:rsidRDefault="00DF6455" w:rsidP="00DF6455">
      <w:pPr>
        <w:suppressAutoHyphens/>
        <w:spacing w:after="0" w:line="240" w:lineRule="auto"/>
        <w:jc w:val="center"/>
        <w:rPr>
          <w:rFonts w:ascii="Times New Roman" w:eastAsia="Times New Roman" w:hAnsi="Times New Roman"/>
          <w:b/>
          <w:sz w:val="32"/>
          <w:szCs w:val="32"/>
          <w:lang w:eastAsia="ar-SA"/>
        </w:rPr>
      </w:pPr>
      <w:r>
        <w:rPr>
          <w:rFonts w:ascii="Times New Roman" w:eastAsia="Times New Roman" w:hAnsi="Times New Roman"/>
          <w:b/>
          <w:sz w:val="32"/>
          <w:szCs w:val="32"/>
          <w:lang w:eastAsia="ar-SA"/>
        </w:rPr>
        <w:t xml:space="preserve">ПОСТАНОВЛЕНИЕ </w:t>
      </w:r>
    </w:p>
    <w:p w:rsidR="00DF6455" w:rsidRDefault="00DF6455" w:rsidP="00DF6455">
      <w:pPr>
        <w:suppressAutoHyphens/>
        <w:spacing w:after="0" w:line="240" w:lineRule="auto"/>
        <w:jc w:val="center"/>
        <w:rPr>
          <w:rFonts w:ascii="Times New Roman" w:eastAsia="Times New Roman" w:hAnsi="Times New Roman"/>
          <w:b/>
          <w:sz w:val="32"/>
          <w:szCs w:val="32"/>
          <w:lang w:eastAsia="ar-SA"/>
        </w:rPr>
      </w:pPr>
    </w:p>
    <w:p w:rsidR="00DF6455" w:rsidRDefault="00DF6455" w:rsidP="00DF6455">
      <w:pPr>
        <w:suppressAutoHyphens/>
        <w:spacing w:after="0" w:line="240" w:lineRule="auto"/>
        <w:jc w:val="center"/>
        <w:rPr>
          <w:rFonts w:ascii="Times New Roman" w:eastAsia="Times New Roman" w:hAnsi="Times New Roman"/>
          <w:b/>
          <w:bCs/>
          <w:sz w:val="32"/>
          <w:szCs w:val="32"/>
          <w:lang w:eastAsia="ar-SA"/>
        </w:rPr>
      </w:pPr>
      <w:r>
        <w:rPr>
          <w:rFonts w:ascii="Times New Roman" w:eastAsia="Times New Roman" w:hAnsi="Times New Roman"/>
          <w:b/>
          <w:sz w:val="32"/>
          <w:szCs w:val="32"/>
          <w:lang w:eastAsia="ar-SA"/>
        </w:rPr>
        <w:t>от 30 марта</w:t>
      </w:r>
      <w:r>
        <w:rPr>
          <w:rFonts w:ascii="Times New Roman" w:eastAsia="Times New Roman" w:hAnsi="Times New Roman"/>
          <w:sz w:val="32"/>
          <w:szCs w:val="32"/>
          <w:lang w:eastAsia="ar-SA"/>
        </w:rPr>
        <w:t xml:space="preserve"> </w:t>
      </w:r>
      <w:r>
        <w:rPr>
          <w:rFonts w:ascii="Times New Roman" w:eastAsia="Times New Roman" w:hAnsi="Times New Roman"/>
          <w:b/>
          <w:bCs/>
          <w:sz w:val="32"/>
          <w:szCs w:val="32"/>
          <w:lang w:eastAsia="ar-SA"/>
        </w:rPr>
        <w:t xml:space="preserve">2022 года №1  </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b/>
          <w:sz w:val="24"/>
          <w:szCs w:val="24"/>
          <w:lang w:eastAsia="ar-SA"/>
        </w:rPr>
      </w:pPr>
    </w:p>
    <w:p w:rsidR="00DF6455" w:rsidRDefault="00DF6455" w:rsidP="00DF6455">
      <w:pPr>
        <w:suppressAutoHyphens/>
        <w:spacing w:after="120" w:line="240" w:lineRule="auto"/>
        <w:jc w:val="center"/>
        <w:rPr>
          <w:rFonts w:ascii="Times New Roman" w:eastAsia="Times New Roman" w:hAnsi="Times New Roman"/>
          <w:b/>
          <w:bCs/>
          <w:color w:val="000000"/>
          <w:sz w:val="32"/>
          <w:szCs w:val="32"/>
          <w:lang w:eastAsia="ar-SA"/>
        </w:rPr>
      </w:pPr>
      <w:r>
        <w:rPr>
          <w:rFonts w:ascii="Times New Roman" w:eastAsia="Times New Roman" w:hAnsi="Times New Roman"/>
          <w:b/>
          <w:bCs/>
          <w:color w:val="000000"/>
          <w:sz w:val="32"/>
          <w:szCs w:val="32"/>
          <w:lang w:eastAsia="ar-SA"/>
        </w:rPr>
        <w:t>ОБ УТВЕРЖДЕНИИ МУНИЦИПАЛЬНОЙ ПРОГРАММЫ      "ПРОФИЛАКТИКА ТЕРРОРИЗМА И ЭКСТРЕМИЗМА НА ТЕРРИТОРИИ НОВОЧАДОВСКОГО СЕЛЬСКОГО ПОСЕЛЕНИЯ АТЮРЬЕВСКОГО МУНИЦИПАЛЬНОГО РАЙОНА РЕСПУБЛИКИ МОРДОВИЯ НА 2022-2024 ГОДЫ"</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8"/>
          <w:szCs w:val="28"/>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8"/>
          <w:szCs w:val="28"/>
          <w:lang w:eastAsia="ar-SA"/>
        </w:rPr>
        <w:t xml:space="preserve">         </w:t>
      </w:r>
      <w:r>
        <w:rPr>
          <w:rFonts w:ascii="Times New Roman" w:eastAsia="Times New Roman" w:hAnsi="Times New Roman"/>
          <w:sz w:val="24"/>
          <w:szCs w:val="24"/>
          <w:lang w:eastAsia="ar-SA"/>
        </w:rPr>
        <w:t>В соответствии с Федеральными Законами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Указом Президента Российской Федерации от 15.06.2006. № 116 «О мерах по противодействию терроризму», Уставом Новочадовского сельского поселения, администрация Новочадовского сельского поселения ПОСТАНОВЛЯЕТ:</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1. Утвердить муниципальную целевую</w:t>
      </w:r>
      <w:r>
        <w:rPr>
          <w:rFonts w:ascii="Times New Roman" w:eastAsia="Times New Roman" w:hAnsi="Times New Roman"/>
          <w:b/>
          <w:sz w:val="24"/>
          <w:szCs w:val="24"/>
          <w:lang w:eastAsia="ar-SA"/>
        </w:rPr>
        <w:t xml:space="preserve"> </w:t>
      </w:r>
      <w:r>
        <w:rPr>
          <w:rFonts w:ascii="Times New Roman" w:eastAsia="Times New Roman" w:hAnsi="Times New Roman"/>
          <w:sz w:val="24"/>
          <w:szCs w:val="24"/>
          <w:lang w:eastAsia="ar-SA"/>
        </w:rPr>
        <w:t>программу   "П</w:t>
      </w:r>
      <w:r>
        <w:rPr>
          <w:rFonts w:ascii="Times New Roman" w:eastAsia="Times New Roman" w:hAnsi="Times New Roman"/>
          <w:bCs/>
          <w:sz w:val="24"/>
          <w:szCs w:val="24"/>
          <w:lang w:eastAsia="ar-SA"/>
        </w:rPr>
        <w:t>рофилактика терроризма и экстремизма на территории</w:t>
      </w:r>
      <w:r>
        <w:rPr>
          <w:rFonts w:ascii="Times New Roman" w:eastAsia="Times New Roman" w:hAnsi="Times New Roman"/>
          <w:sz w:val="24"/>
          <w:szCs w:val="24"/>
          <w:lang w:eastAsia="ar-SA"/>
        </w:rPr>
        <w:t xml:space="preserve"> Новочадовского сельского поселения Атюрьевского муниципального района Республики Мордовия на 2022-2024 годы"(приложение 1).</w:t>
      </w:r>
    </w:p>
    <w:p w:rsidR="00DF6455" w:rsidRDefault="00DF6455" w:rsidP="00DF6455">
      <w:pPr>
        <w:suppressAutoHyphens/>
        <w:spacing w:after="0" w:line="240" w:lineRule="auto"/>
        <w:ind w:firstLine="708"/>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2. Разместить настоящее постановление на официальном сайте Новочадовского сельского поселения.</w:t>
      </w:r>
    </w:p>
    <w:p w:rsidR="00DF6455" w:rsidRDefault="00DF6455" w:rsidP="00DF6455">
      <w:pPr>
        <w:suppressAutoHyphens/>
        <w:spacing w:after="0" w:line="240" w:lineRule="auto"/>
        <w:ind w:firstLine="708"/>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   Настоящее постановление вступает в силу со дня официального опубликования.</w:t>
      </w:r>
    </w:p>
    <w:p w:rsidR="00DF6455" w:rsidRDefault="00DF6455" w:rsidP="00DF6455">
      <w:pPr>
        <w:suppressAutoHyphens/>
        <w:spacing w:after="0" w:line="240" w:lineRule="auto"/>
        <w:ind w:firstLine="708"/>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   Контроль за выполнением данного постановления оставляю за собой.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Глава Новочадовского </w:t>
      </w:r>
    </w:p>
    <w:p w:rsidR="00DF6455" w:rsidRDefault="00DF6455" w:rsidP="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сельского </w:t>
      </w:r>
      <w:proofErr w:type="gramStart"/>
      <w:r>
        <w:rPr>
          <w:rFonts w:ascii="Times New Roman" w:eastAsia="Times New Roman" w:hAnsi="Times New Roman"/>
          <w:sz w:val="24"/>
          <w:szCs w:val="24"/>
          <w:lang w:eastAsia="ar-SA"/>
        </w:rPr>
        <w:t xml:space="preserve">поселения:   </w:t>
      </w:r>
      <w:proofErr w:type="gramEnd"/>
      <w:r>
        <w:rPr>
          <w:rFonts w:ascii="Times New Roman" w:eastAsia="Times New Roman" w:hAnsi="Times New Roman"/>
          <w:sz w:val="24"/>
          <w:szCs w:val="24"/>
          <w:lang w:eastAsia="ar-SA"/>
        </w:rPr>
        <w:t xml:space="preserve">                                                                 В.И.Шнякина</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xml:space="preserve">ПРИЛОЖЕНИЕ № 1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 постановлению главы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Новочадовского сельского поселения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 30.03.2022№1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120" w:line="240" w:lineRule="auto"/>
        <w:jc w:val="center"/>
        <w:rPr>
          <w:rFonts w:ascii="Times New Roman" w:eastAsia="Times New Roman" w:hAnsi="Times New Roman"/>
          <w:b/>
          <w:bCs/>
          <w:color w:val="000000"/>
          <w:sz w:val="32"/>
          <w:szCs w:val="32"/>
          <w:lang w:eastAsia="ar-SA"/>
        </w:rPr>
      </w:pPr>
      <w:r>
        <w:rPr>
          <w:rFonts w:ascii="Times New Roman" w:eastAsia="Times New Roman" w:hAnsi="Times New Roman"/>
          <w:b/>
          <w:bCs/>
          <w:color w:val="000000"/>
          <w:sz w:val="32"/>
          <w:szCs w:val="32"/>
          <w:lang w:eastAsia="ar-SA"/>
        </w:rPr>
        <w:t xml:space="preserve">МУНИЦИПАЛЬНАЯ ПРОГРАММА "ПРОФИЛАКТИКА ТЕРРОРИЗМА И ЭКСТРЕМИЗМА НА ТЕРРИТОРИИ НОВОЧАДОВСКОГО СЕЛЬСКОГО ПОСЕЛЕНИЯ </w:t>
      </w:r>
    </w:p>
    <w:p w:rsidR="00DF6455" w:rsidRDefault="00DF6455" w:rsidP="00DF6455">
      <w:pPr>
        <w:suppressAutoHyphens/>
        <w:spacing w:after="120" w:line="240" w:lineRule="auto"/>
        <w:jc w:val="center"/>
        <w:rPr>
          <w:rFonts w:ascii="Times New Roman" w:eastAsia="Times New Roman" w:hAnsi="Times New Roman"/>
          <w:b/>
          <w:bCs/>
          <w:color w:val="000000"/>
          <w:sz w:val="32"/>
          <w:szCs w:val="32"/>
          <w:lang w:eastAsia="ar-SA"/>
        </w:rPr>
      </w:pPr>
      <w:r>
        <w:rPr>
          <w:rFonts w:ascii="Times New Roman" w:eastAsia="Times New Roman" w:hAnsi="Times New Roman"/>
          <w:b/>
          <w:bCs/>
          <w:color w:val="000000"/>
          <w:sz w:val="32"/>
          <w:szCs w:val="32"/>
          <w:lang w:eastAsia="ar-SA"/>
        </w:rPr>
        <w:t>НА 2022-2024 ГОДЫ"</w:t>
      </w: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bCs/>
          <w:sz w:val="32"/>
          <w:szCs w:val="32"/>
          <w:lang w:eastAsia="ar-SA"/>
        </w:rPr>
      </w:pPr>
      <w:r>
        <w:rPr>
          <w:rFonts w:ascii="Times New Roman" w:eastAsia="Times New Roman" w:hAnsi="Times New Roman"/>
          <w:b/>
          <w:bCs/>
          <w:sz w:val="32"/>
          <w:szCs w:val="32"/>
          <w:lang w:eastAsia="ar-SA"/>
        </w:rPr>
        <w:t>ПАСПОРТ ПРОГРАММЫ</w:t>
      </w: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tbl>
      <w:tblPr>
        <w:tblW w:w="0" w:type="auto"/>
        <w:tblInd w:w="-50" w:type="dxa"/>
        <w:tblLayout w:type="fixed"/>
        <w:tblLook w:val="04A0" w:firstRow="1" w:lastRow="0" w:firstColumn="1" w:lastColumn="0" w:noHBand="0" w:noVBand="1"/>
      </w:tblPr>
      <w:tblGrid>
        <w:gridCol w:w="2448"/>
        <w:gridCol w:w="7223"/>
      </w:tblGrid>
      <w:tr w:rsidR="00DF6455" w:rsidTr="00DF6455">
        <w:tc>
          <w:tcPr>
            <w:tcW w:w="2448" w:type="dxa"/>
            <w:tcBorders>
              <w:top w:val="single" w:sz="4" w:space="0" w:color="000000"/>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Наименование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single" w:sz="4" w:space="0" w:color="000000"/>
              <w:left w:val="single" w:sz="4" w:space="0" w:color="000000"/>
              <w:bottom w:val="single" w:sz="4" w:space="0" w:color="000000"/>
              <w:right w:val="single" w:sz="4" w:space="0" w:color="000000"/>
            </w:tcBorders>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Муниципальная целевая программа:  </w:t>
            </w:r>
          </w:p>
          <w:p w:rsidR="00DF6455" w:rsidRDefault="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w:t>
            </w:r>
            <w:r>
              <w:rPr>
                <w:rFonts w:ascii="Times New Roman" w:eastAsia="Times New Roman" w:hAnsi="Times New Roman"/>
                <w:bCs/>
                <w:sz w:val="24"/>
                <w:szCs w:val="24"/>
                <w:lang w:eastAsia="ar-SA"/>
              </w:rPr>
              <w:t>рофилактика терроризма и экстремизма на территории</w:t>
            </w:r>
            <w:r>
              <w:rPr>
                <w:rFonts w:ascii="Times New Roman" w:eastAsia="Times New Roman" w:hAnsi="Times New Roman"/>
                <w:sz w:val="24"/>
                <w:szCs w:val="24"/>
                <w:lang w:eastAsia="ar-SA"/>
              </w:rPr>
              <w:t xml:space="preserve">   Новочадовского сельского поселения Атюрьевского муниципального района Республики Мордовия на 2022-2024 годы»</w:t>
            </w:r>
          </w:p>
          <w:p w:rsidR="00DF6455" w:rsidRDefault="00DF6455">
            <w:pPr>
              <w:suppressAutoHyphens/>
              <w:spacing w:after="0" w:line="240" w:lineRule="auto"/>
              <w:rPr>
                <w:rFonts w:ascii="Times New Roman" w:eastAsia="Times New Roman" w:hAnsi="Times New Roman"/>
                <w:sz w:val="24"/>
                <w:szCs w:val="24"/>
                <w:lang w:eastAsia="ar-SA"/>
              </w:rPr>
            </w:pP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Основание разработки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25.07.2002г.  № 114-ФЗ «О противодействии экстремистской деятельности», Указ Президента Российской Федерации от 15.06. 2006.  № 116 «О мерах по противодействию терроризму</w:t>
            </w:r>
            <w:proofErr w:type="gramStart"/>
            <w:r>
              <w:rPr>
                <w:rFonts w:ascii="Times New Roman" w:eastAsia="Times New Roman" w:hAnsi="Times New Roman"/>
                <w:sz w:val="24"/>
                <w:szCs w:val="24"/>
                <w:lang w:eastAsia="ar-SA"/>
              </w:rPr>
              <w:t>»,Устав</w:t>
            </w:r>
            <w:proofErr w:type="gramEnd"/>
            <w:r>
              <w:rPr>
                <w:rFonts w:ascii="Times New Roman" w:eastAsia="Times New Roman" w:hAnsi="Times New Roman"/>
                <w:sz w:val="24"/>
                <w:szCs w:val="24"/>
                <w:lang w:eastAsia="ar-SA"/>
              </w:rPr>
              <w:t xml:space="preserve"> Новочадовского сельского поселения.</w:t>
            </w:r>
          </w:p>
        </w:tc>
      </w:tr>
      <w:tr w:rsidR="00DF6455" w:rsidTr="00DF6455">
        <w:tc>
          <w:tcPr>
            <w:tcW w:w="2448"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Заказчик программы</w:t>
            </w: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Администрация Новочадовского сельского поселения Атюрьевскогорайона Республики Мордовия   </w:t>
            </w:r>
          </w:p>
        </w:tc>
      </w:tr>
      <w:tr w:rsidR="00DF6455" w:rsidTr="00DF6455">
        <w:tc>
          <w:tcPr>
            <w:tcW w:w="2448"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Исполнители программы</w:t>
            </w: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Новочадовского сельского поселения Атюрьевского муниципального района Республики Мордовия</w:t>
            </w:r>
          </w:p>
        </w:tc>
      </w:tr>
      <w:tr w:rsidR="00DF6455" w:rsidTr="00DF6455">
        <w:tc>
          <w:tcPr>
            <w:tcW w:w="2448"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Ф. И.О., должность, телефон представителя заказчика</w:t>
            </w: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Глава Новочадовского сельского поселения – </w:t>
            </w:r>
          </w:p>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Шнякина Валентина Ивановна, тел. (83454)2-33-66</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Цели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Противодействие терроризму и экстремизму и защита жизни граждан, проживающих на территории Новочаджовского сельского поселения Атюрьевского муниципального района РМ от террористических и экстремистских актов</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Задачи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1.Уменьшение проявлений экстремизма и негативного отношения к лицам других национальностей и религиозных конфессий.</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3.Формирование толерантности и межэтнической культуры в молодежной среде, профилактика агрессивного поведения.</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4.Информирование населения Новочадовского сельского поселения по вопросам противодействия терроризму и экстремизму.</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5.Содействие правоохранительным органам в выявлении правонарушений и преступлений данной категории, а также ликвидации их последствий.</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6.Пропаганда толерантного поведения к людям других национальностей и религиозных конфессий.</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8.Недопущение наличия свастики и иных элементов экстремистской направленности в населенных пунктах поселения.</w:t>
            </w:r>
          </w:p>
        </w:tc>
      </w:tr>
      <w:tr w:rsidR="00DF6455" w:rsidTr="00DF6455">
        <w:tc>
          <w:tcPr>
            <w:tcW w:w="2448"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Сроки реализации программы</w:t>
            </w: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2022-2024 годы.</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Объем средств выделяемых на реализацию мероприятий настоящей Программы ежегодно уточняется при формировании проекта бюджета на соответствующий финансовый год и других поступлений.</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Структура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 Паспорт программы.</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 Раздел 1. Содержание проблемы и обоснование необходимости ее решения программными методами.</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3) Раздел 2. Основные цели и задачи программы.</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4) Раздел 3. Нормативное обеспечение программы.</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5) Раздел 4. Основные мероприятия программы.</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6) Раздел 5. Механизм реализации программы, включая организацию управления программой и контроль за ходом ее реализации.</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7) Раздел 6. Кадровая политика противодействия терроризму.</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8) Раздел 7. Основные понятия.</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Ожидаемые результаты от реализации программы</w:t>
            </w:r>
          </w:p>
          <w:p w:rsidR="00DF6455" w:rsidRDefault="00DF6455">
            <w:pPr>
              <w:suppressAutoHyphens/>
              <w:spacing w:after="0" w:line="240" w:lineRule="auto"/>
              <w:jc w:val="center"/>
              <w:rPr>
                <w:rFonts w:ascii="Times New Roman" w:eastAsia="Times New Roman" w:hAnsi="Times New Roman"/>
                <w:sz w:val="24"/>
                <w:szCs w:val="24"/>
                <w:lang w:eastAsia="ar-SA"/>
              </w:rPr>
            </w:pP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1.Обеспечение условий для успешной социокультурной адаптации молодежи. </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2.Противодействия проникновению в общественное сознание идей религиозного фундаментализма, экстремизма и нетерпимости. </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3.Совершенствование форм и методов работы органа местного самоуправления по профилактике проявлений ксенофобии, национальной и расовой нетерпимости, противодействию этнической дискриминации. </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4.Создание эффективной системы правовых, организационных и идеологических механизмов противодействия экстремизму, этнической и религиозной нетерпимости.</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Источники финансирования</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Финансирования не требует</w:t>
            </w:r>
          </w:p>
        </w:tc>
      </w:tr>
      <w:tr w:rsidR="00DF6455" w:rsidTr="00DF6455">
        <w:trPr>
          <w:trHeight w:val="1078"/>
        </w:trPr>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Управление программой и контроль за её реализацией</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Контроль за выполнением настоящей Программы осуществляет администрация Новочадовского сельского поселения Атюрьевского муниципального района РМ  </w:t>
            </w:r>
          </w:p>
        </w:tc>
      </w:tr>
      <w:tr w:rsidR="00DF6455" w:rsidTr="00DF6455">
        <w:tc>
          <w:tcPr>
            <w:tcW w:w="2448"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Разработчик</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722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Новочадовского сельского поселения Атюрьевского муниципального района РМ</w:t>
            </w:r>
          </w:p>
        </w:tc>
      </w:tr>
    </w:tbl>
    <w:p w:rsidR="00DF6455" w:rsidRDefault="00DF6455" w:rsidP="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ab/>
      </w: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p>
    <w:p w:rsidR="00DF6455" w:rsidRDefault="00DF6455" w:rsidP="00DF6455">
      <w:pPr>
        <w:suppressAutoHyphens/>
        <w:spacing w:after="0" w:line="240" w:lineRule="auto"/>
        <w:rPr>
          <w:rFonts w:ascii="Times New Roman" w:eastAsia="Times New Roman" w:hAnsi="Times New Roman"/>
          <w:b/>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1.</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Содержание проблемы и обоснование необходимости её решения программными методами</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Новочадовского сельского поселения Атюрьевского муниципального района РМ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 которые меняют демографическую ситуацию нашего поселения.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Наиболее экстремистки рискогенной группой выступает молодежь, это вызвано как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Pr>
          <w:rFonts w:ascii="Times New Roman" w:eastAsia="Times New Roman" w:hAnsi="Times New Roman"/>
          <w:sz w:val="24"/>
          <w:szCs w:val="24"/>
          <w:lang w:eastAsia="ar-SA"/>
        </w:rPr>
        <w:tab/>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Новочадовском сельском поселении.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Программа является документом, открытым для внесения изменений и дополнениями.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2.</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Цели и задачи Программы</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Главная цель Программы - организация антитеррористической деятельности, противодействие возможным фактам проявления терроризма и экстремизма, укрепление доверия населения к работе органов государственной власти и органов местного самоуправления, администрации Новочадовского сельского поселения, правоохранительным органам, формирование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Основными задачами реализации Программы являются: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уяснение содержания террористической деятельности, а также причин и условий, способствующих возникновению и распространению терроризма (ее субъектов, целей, задач, средств, типологии современного терроризма, его причин, социальной базы, специфики и форм подготовки и проведения террористических актов);</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нормативно-правовое обеспечение антитеррористических действий;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анализ и учет опыта борьбы с терроризмом;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преимущество превентивных мероприятий, позволяющих осуществлять выявление намерений проведения террористических действий на стадии их реализации, обеспечение правомочий и ресурсов;</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централизация руководства всеми антитеррористическими действиями,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 регионального и местного уровней;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всестороннее обеспечение осуществляемых специальных и идеологических мероприятий;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воспитательно-идеологическое дифференцированное воздействие на население, террористов, субъектов их поддержки и противников, всестороннее информационно-психологическое обеспечение антитеррористической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неуклонное обеспечение неотвратимости наказания за террористические преступления в соответствии с законом.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утверждение основ гражданской идентичности, как начала, объединяющего всех жителей Новочадовского сельского поселения;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воспитание культуры толерантности и межнационального согласия;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достижение необходимого уровня правовой культуры граждан как основы толерантного сознания и поведения;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формирование в молодежной среде мировоззрения и духовно-нравственной атмосферы культурного взаимоуважения, основанных на принципах уважения прав и свобод человека, стремления к межнациональному миру и согласию, готовности к диалогу;</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общественное осуждение и пресечение на основе действующего законодательства любых проявлений дискриминации, насилия, расизма и экстремизма на национальной и конфессиональной почве.</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разработка и реализация </w:t>
      </w:r>
      <w:proofErr w:type="gramStart"/>
      <w:r>
        <w:rPr>
          <w:rFonts w:ascii="Times New Roman" w:eastAsia="Times New Roman" w:hAnsi="Times New Roman"/>
          <w:sz w:val="24"/>
          <w:szCs w:val="24"/>
          <w:lang w:eastAsia="ar-SA"/>
        </w:rPr>
        <w:t>в муниципальных учреждений</w:t>
      </w:r>
      <w:proofErr w:type="gramEnd"/>
      <w:r>
        <w:rPr>
          <w:rFonts w:ascii="Times New Roman" w:eastAsia="Times New Roman" w:hAnsi="Times New Roman"/>
          <w:sz w:val="24"/>
          <w:szCs w:val="24"/>
          <w:lang w:eastAsia="ar-SA"/>
        </w:rPr>
        <w:t xml:space="preserve"> культуры и по работе с молодежью образовательных программ, направленных на формирование у подрастающего поколения позитивных установок на этническое многообразие;</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разработка и реализация в учреждениях дошкольного, начального, среднего образования Новочадовского сельского поселения Атюрьевского муниципального района образовательных программ, направленных на формирование у подрастающего поколения позитивных установок на этническое многообразие.</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ab/>
        <w:t>Противодействие терроризму на территории Новочадовского сельского поселения осуществляется по следующим направлениям: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предупреждение (профилактика) терроризма;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минимизация и (или) ликвидация последствий проявлений терроризма.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Предупреждение (профилактика) терроризма осуществляется по трем основным направлениям: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создание системы противодействия идеологии терроризма;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осуществление мер правового, организационного, оперативного, административного, режимного, военного и технического характера, направленных на обеспечение антитеррористической защищенности потенциальных объектов террористических посягательств;</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усиление контроля за соблюдением административно-правовых режимов.</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Особая роль в предупреждении (профилактике) терроризма принадлежит эффективной реализации административно-правовых мер, предусмотренных законодательством Российской Федерации.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Предупреждение (профилактика) терроризма предполагает решение следующих задач:</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 разработка мер и осуществление мероприятий по устранению причин и условий, способствующих возникновению и распространению терроризма;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б) противодействие распространению идеологии терроризма путем обеспечения защиты единого информационного пространства Российской Федерации; совершенствование системы информационного противодействия терроризму;</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улучшение социально-экономической, общественно-политической и правовой ситуации на территории;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г) прогнозирование, выявление и устранение террористических угроз, информирование о них органов государственной власти, органов местного самоуправления и общественности;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д) использование законодательно разрешенных методов воздействия на поведение отдельных лиц (групп лиц), склонных к действиям террористического характера;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е) разработка мер и осуществление профилактических мероприятий по противодействию терроризму на территории Новочадовского сельского поселения;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ж) определение прав, обязанностей и ответственности руководителей органов местного самоуправления, а также хозяйствующих субъектов при организации мероприятий по антитеррористической защищенности подведомственных им объектов;</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з)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 а также мест массового пребывания людей;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 совершенствование нормативно-правовой базы, регулирующей вопросы возмещения вреда, причиненного жизни, здоровью и имуществу лиц, участвующих в борьбе с терроризмом, а также лиц, пострадавших в результате террористического акта.</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lastRenderedPageBreak/>
        <w:t>Раздел 3</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Нормативное обеспечение программы</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Правовую основу для реализации программы определили: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б) Указ Президента Российской Федерации от 15.06.2006. № 116 «О мерах по противодействию терроризму».</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Разработка и принятие дополнительных нормативных правовых актов для обеспечения достижения целей реализации программы.</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4</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Основные мероприятия Программы</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1. Создание системы заблаговременно подготовленных мер реагирования на потенциальные террористические угрозы, при которой каждый из привлеченных участников по вертикали и горизонтали «знает свой маневр» (выявление, устранение, нейтрализация, локализация и минимизация воздействия тех факторов, которые либо порождают терроризм, либо ему благоприятствуют).</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2. Последовательное обеспечение конституционных прав, гарантирующих равенство граждан любой расы и национальности, а также свободу вероисповедания; утверждение общероссийских гражданских и историко-культурных ценностей, поддержание российского патриотизма и многокультурной природы российского государства и российского народа как гражданской нации; последовательное и повсеместное пресечение проповеди нетерпимости и насилия.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3. В сфере культуры и воспитании молодежи: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утверждение концепции многокультурности и многоукладности российской жизни;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развитие воспитательной и просветительской работы с детьми и молодежью о принципах поведения в вопросах веротерпимости и согласия, в том числе в отношениях с детьми и подростками;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реагирование на случаи проявления среди детей и молодежи негативных стереотипов, личностного унижения представителей других национальностей и расового облика;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пресечение деятельности и запрещение символики экстремистских групп и организаций на территории поселения;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развитие художественной самодеятельности на основе различных народных традиций и культурного наследия.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4. В сфере организации работы библиотеки: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популяризация литературы и средств массовой информации, адресованных детям и молодежи и ставящих своей целью воспитание в духе толерантности и патриотизма.</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5</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 xml:space="preserve">Механизм реализации программы, </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включая организацию управления программой и контроль за ходом её реализации.</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Общее управление реализацией программы и координацию деятельности исполнителей осуществляет антитеррористическая комиссия Новочадовского сельского поселения Атюрьевского муниципального района РМ</w:t>
      </w:r>
      <w:r>
        <w:rPr>
          <w:rFonts w:ascii="Times New Roman" w:eastAsia="Times New Roman" w:hAnsi="Times New Roman"/>
          <w:color w:val="FF9900"/>
          <w:sz w:val="24"/>
          <w:szCs w:val="24"/>
          <w:lang w:eastAsia="ar-SA"/>
        </w:rPr>
        <w:t>.</w:t>
      </w:r>
      <w:r>
        <w:rPr>
          <w:rFonts w:ascii="Times New Roman" w:eastAsia="Times New Roman" w:hAnsi="Times New Roman"/>
          <w:sz w:val="24"/>
          <w:szCs w:val="24"/>
          <w:lang w:eastAsia="ar-SA"/>
        </w:rPr>
        <w:t xml:space="preserve"> Комиссия вносит в установленном порядке предложения по уточнению мероприятий программы с учетом складывающейся социально-экономической ситуации в соответствии с Порядком разработки, формирования и реализации долгосрочных муниципальных целевых программ.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ab/>
        <w:t>С учетом выделяемых на реализацию программы финансовых средств ежегодно уточняют целевые показатели и затраты по программным мероприятиям, механизм реализации программы, состав исполнителей в установленном порядке.</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Исполнители программных мероприятий осуществляют текущее управление реализацией программных мероприятий.</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Реализация 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 механизм реализации программы,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Отчеты о ходе работ по целевой программе по результатам за год и за весь период действия программы подлежат утверждению постановлением администрации Новочадовского сельского поселения Атюрьевского муниципального района РМ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Контроль за реализацией программы осуществляет администрация Новочадовского сельское поселение Атюрьевского муниципального района РМ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6</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Кадровая политика противодействия терроризму</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b/>
        <w:t>Кадровое обеспечение противодействия терроризму осуществляется по следующим основным направлениям: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 подготовка и переподготовка сотрудников, участвующих в противодействии терроризму;</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б) антитеррористическая подготовка сотрудников органов местного самоуправления, участвующих в рамках своих полномочий в противодействии терроризму;</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подготовка специалистов в специфических областях противодействия терроризму (противодействие идеологии терроризма, ядерному, химическому, биологическому терроризму, кибертерроризму и другим его видам).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Раздел 7</w:t>
      </w:r>
    </w:p>
    <w:p w:rsidR="00DF6455" w:rsidRDefault="00DF6455" w:rsidP="00DF6455">
      <w:pPr>
        <w:suppressAutoHyphens/>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Основные понятия</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 Экстремистская деятельность (экстремизм):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насильственное изменение основ конституционного строя и нарушение целостности Российской Федерации;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публичное оправдание терроризма и иная террористическая деятельность;</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возбуждение социальной, расовой, национальной или религиозной розни;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пропаганда исключительности, превосходства либо неполноценности человека по признаку его социальной, расовой, национальной, религиозной или языковой </w:t>
      </w:r>
      <w:proofErr w:type="gramStart"/>
      <w:r>
        <w:rPr>
          <w:rFonts w:ascii="Times New Roman" w:eastAsia="Times New Roman" w:hAnsi="Times New Roman"/>
          <w:sz w:val="24"/>
          <w:szCs w:val="24"/>
          <w:lang w:eastAsia="ar-SA"/>
        </w:rPr>
        <w:t>принадлежности</w:t>
      </w:r>
      <w:proofErr w:type="gramEnd"/>
      <w:r>
        <w:rPr>
          <w:rFonts w:ascii="Times New Roman" w:eastAsia="Times New Roman" w:hAnsi="Times New Roman"/>
          <w:sz w:val="24"/>
          <w:szCs w:val="24"/>
          <w:lang w:eastAsia="ar-SA"/>
        </w:rPr>
        <w:t xml:space="preserve"> или отношения к религии;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нарушение прав, свобод и законных интересов человека и гражданина в зависимости от его социальной, расовой, национальной, религиозной или языковой </w:t>
      </w:r>
      <w:proofErr w:type="gramStart"/>
      <w:r>
        <w:rPr>
          <w:rFonts w:ascii="Times New Roman" w:eastAsia="Times New Roman" w:hAnsi="Times New Roman"/>
          <w:sz w:val="24"/>
          <w:szCs w:val="24"/>
          <w:lang w:eastAsia="ar-SA"/>
        </w:rPr>
        <w:t>принадлежности</w:t>
      </w:r>
      <w:proofErr w:type="gramEnd"/>
      <w:r>
        <w:rPr>
          <w:rFonts w:ascii="Times New Roman" w:eastAsia="Times New Roman" w:hAnsi="Times New Roman"/>
          <w:sz w:val="24"/>
          <w:szCs w:val="24"/>
          <w:lang w:eastAsia="ar-SA"/>
        </w:rPr>
        <w:t xml:space="preserve"> или отношения к религии;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совершение преступлений по мотивам, указанным в пункте "е" части первой статьи 63 Уголовного кодекса Российской Федерации;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организация и подготовка указанных деяний, а также подстрекательство к их осуществлению;</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 Экстремистская организация - общественное или религиозное объединение либо иная организация, в отношении которых по основаниям, предусмотренным Федеральным законом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 Основные направления противодействия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Противодействие экстремистской деятельности осуществляется по следующим основным направлениям:</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5. Субъекты противодействия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 Профилактика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w:t>
      </w:r>
      <w:r>
        <w:rPr>
          <w:rFonts w:ascii="Times New Roman" w:eastAsia="Times New Roman" w:hAnsi="Times New Roman"/>
          <w:sz w:val="24"/>
          <w:szCs w:val="24"/>
          <w:lang w:eastAsia="ar-SA"/>
        </w:rPr>
        <w:lastRenderedPageBreak/>
        <w:t>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7. Толерантность (лат. tolerantia - терпение) - терпимость к чужому образу жизни, поведению, чужим обычаям, чувствам, верованиям, мнениям, идеям. Т.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 Ксенофобия (греч. xenos - чужой + phobos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xml:space="preserve"> ПРИЛОЖЕНИЕ № 2</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 постановлению главы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Новочадовского</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сельского поселения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 30.03.2022 №1  </w:t>
      </w: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bCs/>
          <w:sz w:val="32"/>
          <w:szCs w:val="32"/>
          <w:lang w:eastAsia="ar-SA"/>
        </w:rPr>
      </w:pPr>
      <w:r>
        <w:rPr>
          <w:rFonts w:ascii="Times New Roman" w:eastAsia="Times New Roman" w:hAnsi="Times New Roman"/>
          <w:b/>
          <w:bCs/>
          <w:sz w:val="32"/>
          <w:szCs w:val="32"/>
          <w:lang w:eastAsia="ar-SA"/>
        </w:rPr>
        <w:t>ПЛАН МЕРОПРИЯТИЙ ПО РЕАЛИЗАЦИИ МУНИЦИПАЛЬНОЙ ЦЕЛЕВОЙ ПРОГРАММЫ "ПРОТИВОДЕЙСТВИЕ ТЕРРОРИЗМУ И ЭКСТРЕМИЗМУ НА ТЕРРИТОРИИ НОВОЧАДОВСКОГО СЕЛЬСКОГО ПОСЕЛЕНИЯ АТЮРЬЕВСКОГО МУНИЦИПАЛЬНОГО РАЙОНА РЕСПУБЛИКИ МОРДОВИЯ НА 2022-2024 ГОДЫ"</w:t>
      </w:r>
    </w:p>
    <w:p w:rsidR="00DF6455" w:rsidRDefault="00DF6455" w:rsidP="00DF6455">
      <w:pPr>
        <w:suppressAutoHyphens/>
        <w:spacing w:after="0" w:line="240" w:lineRule="auto"/>
        <w:jc w:val="center"/>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color w:val="555555"/>
          <w:sz w:val="24"/>
          <w:szCs w:val="24"/>
          <w:lang w:eastAsia="ar-SA"/>
        </w:rPr>
      </w:pPr>
    </w:p>
    <w:tbl>
      <w:tblPr>
        <w:tblW w:w="0" w:type="auto"/>
        <w:tblInd w:w="-677" w:type="dxa"/>
        <w:tblLayout w:type="fixed"/>
        <w:tblCellMar>
          <w:left w:w="0" w:type="dxa"/>
          <w:right w:w="0" w:type="dxa"/>
        </w:tblCellMar>
        <w:tblLook w:val="04A0" w:firstRow="1" w:lastRow="0" w:firstColumn="1" w:lastColumn="0" w:noHBand="0" w:noVBand="1"/>
      </w:tblPr>
      <w:tblGrid>
        <w:gridCol w:w="426"/>
        <w:gridCol w:w="250"/>
        <w:gridCol w:w="3045"/>
        <w:gridCol w:w="1198"/>
        <w:gridCol w:w="655"/>
        <w:gridCol w:w="1224"/>
        <w:gridCol w:w="1384"/>
        <w:gridCol w:w="2094"/>
      </w:tblGrid>
      <w:tr w:rsidR="00DF6455" w:rsidTr="00DF6455">
        <w:trPr>
          <w:cantSplit/>
          <w:trHeight w:val="604"/>
        </w:trPr>
        <w:tc>
          <w:tcPr>
            <w:tcW w:w="676" w:type="dxa"/>
            <w:gridSpan w:val="2"/>
            <w:vMerge w:val="restart"/>
            <w:tcBorders>
              <w:top w:val="double" w:sz="2" w:space="0" w:color="C0C0C0"/>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п/п</w:t>
            </w:r>
          </w:p>
        </w:tc>
        <w:tc>
          <w:tcPr>
            <w:tcW w:w="3045" w:type="dxa"/>
            <w:vMerge w:val="restart"/>
            <w:tcBorders>
              <w:top w:val="double" w:sz="2" w:space="0" w:color="C0C0C0"/>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Наименование мероприятий</w:t>
            </w:r>
          </w:p>
        </w:tc>
        <w:tc>
          <w:tcPr>
            <w:tcW w:w="1198" w:type="dxa"/>
            <w:vMerge w:val="restart"/>
            <w:tcBorders>
              <w:top w:val="double" w:sz="2" w:space="0" w:color="C0C0C0"/>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Срок </w:t>
            </w:r>
            <w:proofErr w:type="gramStart"/>
            <w:r>
              <w:rPr>
                <w:rFonts w:ascii="Times New Roman" w:eastAsia="Times New Roman" w:hAnsi="Times New Roman"/>
                <w:sz w:val="24"/>
                <w:szCs w:val="24"/>
                <w:lang w:eastAsia="ar-SA"/>
              </w:rPr>
              <w:t>испол-нения</w:t>
            </w:r>
            <w:proofErr w:type="gramEnd"/>
          </w:p>
        </w:tc>
        <w:tc>
          <w:tcPr>
            <w:tcW w:w="655" w:type="dxa"/>
            <w:vMerge w:val="restart"/>
            <w:tcBorders>
              <w:top w:val="double" w:sz="2" w:space="0" w:color="C0C0C0"/>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Всего (тыс. руб.)</w:t>
            </w:r>
          </w:p>
        </w:tc>
        <w:tc>
          <w:tcPr>
            <w:tcW w:w="2608" w:type="dxa"/>
            <w:gridSpan w:val="2"/>
            <w:tcBorders>
              <w:top w:val="double" w:sz="2" w:space="0" w:color="C0C0C0"/>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Источники финансирования</w:t>
            </w:r>
          </w:p>
        </w:tc>
        <w:tc>
          <w:tcPr>
            <w:tcW w:w="2094" w:type="dxa"/>
            <w:vMerge w:val="restart"/>
            <w:tcBorders>
              <w:top w:val="double" w:sz="2" w:space="0" w:color="C0C0C0"/>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Ответственные исполнители</w:t>
            </w:r>
          </w:p>
        </w:tc>
      </w:tr>
      <w:tr w:rsidR="00DF6455" w:rsidTr="00DF6455">
        <w:trPr>
          <w:cantSplit/>
          <w:trHeight w:hRule="exact" w:val="604"/>
        </w:trPr>
        <w:tc>
          <w:tcPr>
            <w:tcW w:w="13571" w:type="dxa"/>
            <w:gridSpan w:val="2"/>
            <w:vMerge/>
            <w:tcBorders>
              <w:top w:val="double" w:sz="2" w:space="0" w:color="C0C0C0"/>
              <w:left w:val="double" w:sz="2" w:space="0" w:color="C0C0C0"/>
              <w:bottom w:val="double" w:sz="2" w:space="0" w:color="C0C0C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3045" w:type="dxa"/>
            <w:vMerge/>
            <w:tcBorders>
              <w:top w:val="double" w:sz="2" w:space="0" w:color="C0C0C0"/>
              <w:left w:val="double" w:sz="2" w:space="0" w:color="C0C0C0"/>
              <w:bottom w:val="double" w:sz="2" w:space="0" w:color="C0C0C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198" w:type="dxa"/>
            <w:vMerge/>
            <w:tcBorders>
              <w:top w:val="double" w:sz="2" w:space="0" w:color="C0C0C0"/>
              <w:left w:val="double" w:sz="2" w:space="0" w:color="C0C0C0"/>
              <w:bottom w:val="double" w:sz="2" w:space="0" w:color="C0C0C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655" w:type="dxa"/>
            <w:vMerge/>
            <w:tcBorders>
              <w:top w:val="double" w:sz="2" w:space="0" w:color="C0C0C0"/>
              <w:left w:val="double" w:sz="2" w:space="0" w:color="C0C0C0"/>
              <w:bottom w:val="double" w:sz="2" w:space="0" w:color="C0C0C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Местный бюджет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Прочие</w:t>
            </w:r>
            <w:r>
              <w:rPr>
                <w:rFonts w:ascii="Times New Roman" w:eastAsia="Times New Roman" w:hAnsi="Times New Roman"/>
                <w:sz w:val="24"/>
                <w:szCs w:val="24"/>
                <w:lang w:eastAsia="ar-SA"/>
              </w:rPr>
              <w:br/>
              <w:t>источники</w:t>
            </w:r>
          </w:p>
        </w:tc>
        <w:tc>
          <w:tcPr>
            <w:tcW w:w="2094" w:type="dxa"/>
            <w:vMerge/>
            <w:tcBorders>
              <w:top w:val="double" w:sz="2" w:space="0" w:color="C0C0C0"/>
              <w:left w:val="double" w:sz="2" w:space="0" w:color="C0C0C0"/>
              <w:bottom w:val="double" w:sz="2" w:space="0" w:color="C0C0C0"/>
              <w:right w:val="double" w:sz="2" w:space="0" w:color="C0C0C0"/>
            </w:tcBorders>
            <w:vAlign w:val="center"/>
            <w:hideMark/>
          </w:tcPr>
          <w:p w:rsidR="00DF6455" w:rsidRDefault="00DF6455">
            <w:pPr>
              <w:spacing w:after="0"/>
              <w:rPr>
                <w:rFonts w:ascii="Times New Roman" w:eastAsia="Times New Roman" w:hAnsi="Times New Roman"/>
                <w:sz w:val="24"/>
                <w:szCs w:val="24"/>
                <w:lang w:eastAsia="ar-SA"/>
              </w:rPr>
            </w:pPr>
          </w:p>
        </w:tc>
      </w:tr>
      <w:tr w:rsidR="00DF6455" w:rsidTr="00DF6455">
        <w:tc>
          <w:tcPr>
            <w:tcW w:w="10276" w:type="dxa"/>
            <w:gridSpan w:val="8"/>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Организационные и пропагандистские мероприятия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Проведение тематических мероприятий для детей и молодёжи </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655"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38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поселения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Распространение среди читателей библиотеки информационных материалов, содействующих повышению уровня толерантного сознания молодежи</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655"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38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Библиотекарь Новочадовской, Ново-Кярьгинской сельской библиотеки </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Информирование населения по вопросам противодействия терроризму, предупреждению террористических актов, поведению в условиях возникновения ЧС через СМИ и на официальном сайте администрации в сети Интернет;</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Изготовление печатных памяток по тематике противодействия экстремизму и терроризму</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655"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38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поселения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4</w:t>
            </w:r>
          </w:p>
        </w:tc>
        <w:tc>
          <w:tcPr>
            <w:tcW w:w="3295" w:type="dxa"/>
            <w:gridSpan w:val="2"/>
            <w:tcBorders>
              <w:top w:val="nil"/>
              <w:left w:val="double" w:sz="2" w:space="0" w:color="C0C0C0"/>
              <w:bottom w:val="double" w:sz="2" w:space="0" w:color="C0C0C0"/>
              <w:right w:val="nil"/>
            </w:tcBorders>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Приобретение и размещение плакатов, брошюр, листовок по профилактике экстремизма и терроризма на территории поселения</w:t>
            </w:r>
          </w:p>
          <w:p w:rsidR="00DF6455" w:rsidRDefault="00DF6455">
            <w:pPr>
              <w:suppressAutoHyphens/>
              <w:spacing w:after="0" w:line="240" w:lineRule="auto"/>
              <w:rPr>
                <w:rFonts w:ascii="Times New Roman" w:eastAsia="Times New Roman" w:hAnsi="Times New Roman"/>
                <w:sz w:val="24"/>
                <w:szCs w:val="24"/>
                <w:lang w:eastAsia="ar-SA"/>
              </w:rPr>
            </w:pP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655"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38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w:t>
            </w:r>
          </w:p>
          <w:p w:rsidR="00DF6455" w:rsidRDefault="00DF6455">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поселения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5</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Организация взаимодействия с силовыми ведомствами района, соседними поселениями. Уточнение схем оповещения и связи по вопросам антитеррора.</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Глава сельского поселения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Организация осмотра административных зданий, производственных и складских помещений учреждений, организаций, а также прилегающих к ним территорий, других мест скопления населения на предмет выявления подозрительных предметов</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Руководители предприятий, учреждений</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7</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24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Мониторинг систем охраны и сигнализации детских учреждений, школы, дома культуры, магазинов, их охрану в нерабочее время </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Руководители предприятий, учреждений</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Предупреждение не позднее, чем за 48 часов органов внутренних дел (участкового) о планируемых массовых мероприятиях в учреждениях культуры, школы. </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Руководители предприятий, учреждений</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9</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Организация работы старших по дому и старост населенных пунктов</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поселения</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10</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Определение мест парковки всех видов автотранспорта на территории Новочадовского сельского поселения</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поселения</w:t>
            </w:r>
          </w:p>
          <w:p w:rsidR="00DF6455" w:rsidRDefault="00DF6455">
            <w:pPr>
              <w:suppressAutoHyphens/>
              <w:spacing w:after="0" w:line="240" w:lineRule="auto"/>
              <w:rPr>
                <w:rFonts w:ascii="Times New Roman" w:eastAsia="Times New Roman" w:hAnsi="Times New Roman"/>
                <w:sz w:val="24"/>
                <w:szCs w:val="24"/>
                <w:lang w:eastAsia="ar-SA"/>
              </w:rPr>
            </w:pP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11</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Организация и проведение проверки готовности сил и средств, предназначенных для ликвидации   возможных террористических актов (ЧС)</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постоянно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поселения, руководители предприятий и учреждений</w:t>
            </w:r>
          </w:p>
        </w:tc>
      </w:tr>
      <w:tr w:rsidR="00DF6455" w:rsidTr="00DF6455">
        <w:tc>
          <w:tcPr>
            <w:tcW w:w="426"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12</w:t>
            </w: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Организация и проведение тренировок, учений по действиям работников учреждений, предприятий, учебных заведений, при обнаружении подозрительных предметов </w:t>
            </w:r>
          </w:p>
        </w:tc>
        <w:tc>
          <w:tcPr>
            <w:tcW w:w="1198"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 раз в полугодие)</w:t>
            </w:r>
          </w:p>
          <w:p w:rsidR="00DF6455" w:rsidRDefault="00DF6455">
            <w:pPr>
              <w:suppressAutoHyphens/>
              <w:spacing w:after="0" w:line="240" w:lineRule="auto"/>
              <w:jc w:val="center"/>
              <w:rPr>
                <w:rFonts w:ascii="Times New Roman" w:eastAsia="Times New Roman" w:hAnsi="Times New Roman"/>
                <w:sz w:val="24"/>
                <w:szCs w:val="24"/>
                <w:lang w:eastAsia="ar-SA"/>
              </w:rPr>
            </w:pP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655"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tc>
        <w:tc>
          <w:tcPr>
            <w:tcW w:w="1384"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нет</w:t>
            </w:r>
          </w:p>
          <w:p w:rsidR="00DF6455" w:rsidRDefault="00DF6455">
            <w:pPr>
              <w:suppressAutoHyphens/>
              <w:spacing w:after="0" w:line="240" w:lineRule="auto"/>
              <w:jc w:val="center"/>
              <w:rPr>
                <w:rFonts w:ascii="Times New Roman" w:eastAsia="Times New Roman" w:hAnsi="Times New Roman"/>
                <w:sz w:val="24"/>
                <w:szCs w:val="24"/>
                <w:lang w:eastAsia="ar-SA"/>
              </w:rPr>
            </w:pPr>
          </w:p>
        </w:tc>
        <w:tc>
          <w:tcPr>
            <w:tcW w:w="2094" w:type="dxa"/>
            <w:tcBorders>
              <w:top w:val="nil"/>
              <w:left w:val="double" w:sz="2" w:space="0" w:color="C0C0C0"/>
              <w:bottom w:val="double" w:sz="2" w:space="0" w:color="C0C0C0"/>
              <w:right w:val="double" w:sz="2" w:space="0" w:color="C0C0C0"/>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Администрация поселения, руководители предприятий и учреждений</w:t>
            </w:r>
          </w:p>
        </w:tc>
      </w:tr>
      <w:tr w:rsidR="00DF6455" w:rsidTr="00DF6455">
        <w:tc>
          <w:tcPr>
            <w:tcW w:w="426" w:type="dxa"/>
            <w:tcBorders>
              <w:top w:val="nil"/>
              <w:left w:val="double" w:sz="2" w:space="0" w:color="C0C0C0"/>
              <w:bottom w:val="double" w:sz="2" w:space="0" w:color="C0C0C0"/>
              <w:right w:val="nil"/>
            </w:tcBorders>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p>
        </w:tc>
        <w:tc>
          <w:tcPr>
            <w:tcW w:w="3295" w:type="dxa"/>
            <w:gridSpan w:val="2"/>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всего финансовых средств</w:t>
            </w:r>
          </w:p>
        </w:tc>
        <w:tc>
          <w:tcPr>
            <w:tcW w:w="1198"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2022</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итого</w:t>
            </w:r>
          </w:p>
        </w:tc>
        <w:tc>
          <w:tcPr>
            <w:tcW w:w="655"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tc>
        <w:tc>
          <w:tcPr>
            <w:tcW w:w="122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tc>
        <w:tc>
          <w:tcPr>
            <w:tcW w:w="1384" w:type="dxa"/>
            <w:tcBorders>
              <w:top w:val="nil"/>
              <w:left w:val="double" w:sz="2" w:space="0" w:color="C0C0C0"/>
              <w:bottom w:val="double" w:sz="2" w:space="0" w:color="C0C0C0"/>
              <w:right w:val="nil"/>
            </w:tcBorders>
            <w:hideMark/>
          </w:tcPr>
          <w:p w:rsidR="00DF6455" w:rsidRDefault="00DF6455">
            <w:pPr>
              <w:suppressAutoHyphens/>
              <w:snapToGrid w:val="0"/>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p w:rsidR="00DF6455" w:rsidRDefault="00DF6455">
            <w:pPr>
              <w:suppressAutoHyphens/>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0,0</w:t>
            </w:r>
          </w:p>
        </w:tc>
        <w:tc>
          <w:tcPr>
            <w:tcW w:w="2094" w:type="dxa"/>
            <w:tcBorders>
              <w:top w:val="nil"/>
              <w:left w:val="double" w:sz="2" w:space="0" w:color="C0C0C0"/>
              <w:bottom w:val="double" w:sz="2" w:space="0" w:color="C0C0C0"/>
              <w:right w:val="double" w:sz="2" w:space="0" w:color="C0C0C0"/>
            </w:tcBorders>
          </w:tcPr>
          <w:p w:rsidR="00DF6455" w:rsidRDefault="00DF6455">
            <w:pPr>
              <w:suppressAutoHyphens/>
              <w:snapToGrid w:val="0"/>
              <w:spacing w:after="0" w:line="240" w:lineRule="auto"/>
              <w:rPr>
                <w:rFonts w:ascii="Times New Roman" w:eastAsia="Times New Roman" w:hAnsi="Times New Roman"/>
                <w:sz w:val="24"/>
                <w:szCs w:val="24"/>
                <w:lang w:eastAsia="ar-SA"/>
              </w:rPr>
            </w:pPr>
          </w:p>
        </w:tc>
      </w:tr>
    </w:tbl>
    <w:p w:rsidR="00DF6455" w:rsidRDefault="00DF6455" w:rsidP="00DF64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280" w:after="28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xml:space="preserve"> ПРИЛОЖЕНИЕ № 3</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 постановлению главы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Новочадовского</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сельского поселения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 30.03.2022 №1  </w:t>
      </w:r>
    </w:p>
    <w:p w:rsidR="00DF6455" w:rsidRDefault="00DF6455" w:rsidP="00DF6455">
      <w:pPr>
        <w:suppressAutoHyphens/>
        <w:spacing w:after="0" w:line="240" w:lineRule="auto"/>
        <w:jc w:val="right"/>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center"/>
        <w:rPr>
          <w:rFonts w:ascii="Times New Roman" w:eastAsia="Times New Roman" w:hAnsi="Times New Roman"/>
          <w:b/>
          <w:bCs/>
          <w:sz w:val="32"/>
          <w:szCs w:val="32"/>
          <w:lang w:eastAsia="ar-SA"/>
        </w:rPr>
      </w:pPr>
      <w:r>
        <w:rPr>
          <w:rFonts w:ascii="Times New Roman" w:eastAsia="Times New Roman" w:hAnsi="Times New Roman"/>
          <w:b/>
          <w:bCs/>
          <w:sz w:val="32"/>
          <w:szCs w:val="32"/>
          <w:lang w:eastAsia="ar-SA"/>
        </w:rPr>
        <w:t>ПОРЯДОК ПРОВЕДЕНИЯ ОЦЕНКИ ЭФФЕКТИВНОСТИ РЕАЛИЗАЦИИ МУНИЦИПАЛЬНЫХ ЦЕЛЕВЫХ ПРОГРАММ И ИХ КРИТЕРИЕВ.</w:t>
      </w:r>
    </w:p>
    <w:p w:rsidR="00DF6455" w:rsidRDefault="00DF6455" w:rsidP="00DF6455">
      <w:pPr>
        <w:suppressAutoHyphens/>
        <w:spacing w:after="0" w:line="240" w:lineRule="auto"/>
        <w:jc w:val="center"/>
        <w:rPr>
          <w:rFonts w:ascii="Times New Roman" w:eastAsia="Times New Roman" w:hAnsi="Times New Roman"/>
          <w:sz w:val="28"/>
          <w:szCs w:val="28"/>
          <w:lang w:eastAsia="ar-SA"/>
        </w:rPr>
      </w:pP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Настоящий Порядок проведения оценки эффективности реализации долгосрочных целевых программ и их критериев, определяет правила поведения оценки эффективности мероприятий долгосрочных целевых программ Новочадовского сельского поселения, реализуемых за средства бюджета Новочадовского сельского поселения (далее долгосрочная целевая программа), и критерии указанной оценки.</w:t>
      </w: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Оценка эффективности и результативности долгосрочных целевых программ проводиться по итогам их реализации за отчетный финансовый год и в целом после завершения реализации долгосрочных целевых программ.</w:t>
      </w: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Критерии оценки эффективности результативности реализации долгосрочных целевых программ являются:</w:t>
      </w:r>
    </w:p>
    <w:p w:rsidR="00DF6455" w:rsidRDefault="00DF6455" w:rsidP="00DF6455">
      <w:pPr>
        <w:numPr>
          <w:ilvl w:val="0"/>
          <w:numId w:val="2"/>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степень достижения заявленных результатов реализации долгосрочных целевых программ;</w:t>
      </w:r>
    </w:p>
    <w:p w:rsidR="00DF6455" w:rsidRDefault="00DF6455" w:rsidP="00DF6455">
      <w:pPr>
        <w:numPr>
          <w:ilvl w:val="0"/>
          <w:numId w:val="2"/>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процент отклонения достигнутых показателей результативности от плановых;</w:t>
      </w:r>
    </w:p>
    <w:p w:rsidR="00DF6455" w:rsidRDefault="00DF6455" w:rsidP="00DF6455">
      <w:pPr>
        <w:numPr>
          <w:ilvl w:val="0"/>
          <w:numId w:val="2"/>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динамика расходов на реализацию мероприятий долгосрочных целевых программ;</w:t>
      </w:r>
    </w:p>
    <w:p w:rsidR="00DF6455" w:rsidRDefault="00DF6455" w:rsidP="00DF6455">
      <w:pPr>
        <w:numPr>
          <w:ilvl w:val="0"/>
          <w:numId w:val="2"/>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динамика показателей эффективности и результативности реализации долгосрочных целевых программ.</w:t>
      </w: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Исполнители долгосрочных целевых программ готовят отчет, в котором отражаются качественные и количественные результаты выполнения долгосрочных целевых программ, приводиться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Для подготовки заключения об эффективности и результативности долгосрочной целевой программы и определения объемов финансирования программы на очередной финансовый год пакет документов по оценке эффективности и результативности реализации долгосрочной целевой программы должен содержать:</w:t>
      </w:r>
    </w:p>
    <w:p w:rsidR="00DF6455" w:rsidRDefault="00DF6455" w:rsidP="00DF6455">
      <w:pPr>
        <w:numPr>
          <w:ilvl w:val="0"/>
          <w:numId w:val="3"/>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пояснительную записку;</w:t>
      </w:r>
    </w:p>
    <w:p w:rsidR="00DF6455" w:rsidRDefault="00DF6455" w:rsidP="00DF6455">
      <w:pPr>
        <w:numPr>
          <w:ilvl w:val="0"/>
          <w:numId w:val="3"/>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анализ объема финансирования мероприятий долгосрочной целевой программы (таблица № 1 приложения к Порядку);</w:t>
      </w:r>
    </w:p>
    <w:p w:rsidR="00DF6455" w:rsidRDefault="00DF6455" w:rsidP="00DF6455">
      <w:pPr>
        <w:numPr>
          <w:ilvl w:val="0"/>
          <w:numId w:val="3"/>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анализ достижения показателей – индикаторов результативности долгосрочной целевой программы (таблица №2 приложения к Порядку);</w:t>
      </w:r>
    </w:p>
    <w:p w:rsidR="00DF6455" w:rsidRDefault="00DF6455" w:rsidP="00DF6455">
      <w:pPr>
        <w:numPr>
          <w:ilvl w:val="0"/>
          <w:numId w:val="3"/>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оценку эффективности реализации долгосрочной целевой программы (таблица № 3 приложения к Порядку).</w:t>
      </w:r>
    </w:p>
    <w:p w:rsidR="00DF6455" w:rsidRDefault="00DF6455" w:rsidP="00DF6455">
      <w:pPr>
        <w:numPr>
          <w:ilvl w:val="0"/>
          <w:numId w:val="1"/>
        </w:numPr>
        <w:tabs>
          <w:tab w:val="left" w:pos="720"/>
        </w:tabs>
        <w:suppressAutoHyphens/>
        <w:spacing w:after="0" w:line="240" w:lineRule="auto"/>
        <w:ind w:left="720" w:hanging="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Оценка результативности реализации долгосрочной целевой программы представляет собой определенные степени достижения запланированных результатов.</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При проведении оценки планируемой эффективности долгосрочной целевой программы эффективность ожидаемых результатов ее реализации оценивается по нескольким группам критериев. Обязательным условием является успешное (полное) выполнение запланированных на период ее реализации программных мероприятий. В качестве основных критериев планируемой эффективности </w:t>
      </w:r>
      <w:r>
        <w:rPr>
          <w:rFonts w:ascii="Times New Roman" w:eastAsia="Times New Roman" w:hAnsi="Times New Roman"/>
          <w:sz w:val="24"/>
          <w:szCs w:val="24"/>
          <w:lang w:eastAsia="ar-SA"/>
        </w:rPr>
        <w:lastRenderedPageBreak/>
        <w:t>реализации долгосрочной целевой программы, в зависимости от специфики целей и задач долгосрочной целевой программы, могут применяться:</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 критерии экономической эффективности, которые включают оценку вклада долгосрочной целевой программы в экономическое развитие Новочадовского сельского поселения в целом, оценку влияния ожидаемых результатов долгосрочной целевой программы на различные сферы экономики Новочадовского сельского поселения. Оценки могут включать как прямые (непосредственные) эффекты от реализации долгосрочной целевой программы, так и косвенные (внешние) эффекты, возникающие в сопряженных секторах экономики. В случае отраслевой или территориальной направленности долгосрочной целевой программы оценки эффективности дополняется оценками вкладов в экономическое развитие соответствующих отраслей или территорий;</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Б) критерии социальной эффективности, учитывающие ожидаемый вклад реализации долгосрочной целевой программы в показатели социального развития, которые не могут быть выражены в стоимости оценки;</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критерии бюджетной эффективности, предполагающие сопоставление затрат бюджета Новочадовского сельского поселения на реализацию программных мероприятий с возникшими дополнительными доходами соответствующих бюджетов.</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Методика оценки планируемой эффективности долгосрочной целевой программы является обязательным приложением к долгосрочной целевой программе.</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7) Оценки фактической эффективности долгосрочных целевых программ осуществляется на основе:</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критериев бюджетной эффективности;</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критериев экономической эффективности;</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критериев социальной эффективности.</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общем случае бюджетная эффективность ассигнований бюджета Новочадовского сельского поселения признается эффективной, если сумма дополнительных фактически полученных поступлений в бюджет в результате реализации долгосрочной целевой программы превышает сумму бюджетных ассигнований на выполнение программы за рассматриваемый период.</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рамках оценки бюджетной эффективности проводиться анализ достигнутых результатов в их соотношении к объему финансирования.</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Экономическая эффективность бюджетных ассигнований на реализацию долгосрочной целевой программы заключается в положительной динамике финансово-экономических показателей деятельности предприятий и организаций, экономики Новочадовского сельского поселения в целом.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В качестве экономического эффекта может быть определено достижение целевых значений показателей, установленных на соответствующие промежутки времени. </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Экономическая эффективность в данном случае определяется степень достижения установленных целевых показателей.</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Социальная эффективность бюджетных ассигнований признается положительно в случае достижения социально значимого эффекта в результате выполнения программных мероприятий и реализации долгосрочной целевой программы в целом.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качестве социального эффекта может быть определенно достижение целевых значений показателей в социальной сфере, установленных на соответствующие промежутки времени. Социальная эффективность в данном случае определяется степенью достижения целевых значений установленных показателей.</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Целевые значения индикаторов и показателей критериев эффективности реализации долгосрочных целевых программ должны удовлетворять следующие функциональным критериям: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отражать специфику и решение проблемных ситуаций по приоритетным техническим направлениям долгосрочных целевых программ;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иметь количественное значение;</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определяется на основе данных статистического наблюдения;</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непосредственно зависеть от реализации мер государственной поддержки и регулирования в предметной области долгосрочных целевых программ;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иметь динамичный характер, т.е. меняется за каждый отчетный период реализации долгосрочных целевых программ.</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xml:space="preserve">      Таблица № 1 к Порядку проведения и </w:t>
      </w: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критериях оценки эффективности </w:t>
      </w: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реализации долгосрочных программ.</w:t>
      </w: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Анализ объемов финансирования мероприятий долгосрочной целевой программы.</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tbl>
      <w:tblPr>
        <w:tblW w:w="0" w:type="auto"/>
        <w:tblInd w:w="-45" w:type="dxa"/>
        <w:tblLayout w:type="fixed"/>
        <w:tblLook w:val="04A0" w:firstRow="1" w:lastRow="0" w:firstColumn="1" w:lastColumn="0" w:noHBand="0" w:noVBand="1"/>
      </w:tblPr>
      <w:tblGrid>
        <w:gridCol w:w="449"/>
        <w:gridCol w:w="2205"/>
        <w:gridCol w:w="1080"/>
        <w:gridCol w:w="1170"/>
        <w:gridCol w:w="1262"/>
        <w:gridCol w:w="1110"/>
        <w:gridCol w:w="600"/>
        <w:gridCol w:w="1657"/>
      </w:tblGrid>
      <w:tr w:rsidR="00DF6455" w:rsidTr="00DF6455">
        <w:trPr>
          <w:cantSplit/>
          <w:trHeight w:val="435"/>
        </w:trPr>
        <w:tc>
          <w:tcPr>
            <w:tcW w:w="449"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2205"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Наименование задачи, мероприятий</w:t>
            </w:r>
          </w:p>
        </w:tc>
        <w:tc>
          <w:tcPr>
            <w:tcW w:w="1080"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Источник финансирования</w:t>
            </w:r>
          </w:p>
        </w:tc>
        <w:tc>
          <w:tcPr>
            <w:tcW w:w="4140" w:type="dxa"/>
            <w:gridSpan w:val="4"/>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Объем финансирования, тыс. руб.</w:t>
            </w:r>
          </w:p>
        </w:tc>
        <w:tc>
          <w:tcPr>
            <w:tcW w:w="1657" w:type="dxa"/>
            <w:vMerge w:val="restart"/>
            <w:tcBorders>
              <w:top w:val="single" w:sz="4" w:space="0" w:color="000000"/>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Исполнитель мероприятия</w:t>
            </w:r>
          </w:p>
        </w:tc>
      </w:tr>
      <w:tr w:rsidR="00DF6455" w:rsidTr="00DF6455">
        <w:trPr>
          <w:cantSplit/>
          <w:trHeight w:hRule="exact" w:val="345"/>
        </w:trPr>
        <w:tc>
          <w:tcPr>
            <w:tcW w:w="6166"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2205"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080"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170" w:type="dxa"/>
            <w:vMerge w:val="restart"/>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Плановое значение</w:t>
            </w:r>
          </w:p>
        </w:tc>
        <w:tc>
          <w:tcPr>
            <w:tcW w:w="1260" w:type="dxa"/>
            <w:vMerge w:val="restart"/>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Фактическое значение</w:t>
            </w:r>
          </w:p>
        </w:tc>
        <w:tc>
          <w:tcPr>
            <w:tcW w:w="1710"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Отклонение</w:t>
            </w:r>
          </w:p>
        </w:tc>
        <w:tc>
          <w:tcPr>
            <w:tcW w:w="1657" w:type="dxa"/>
            <w:vMerge/>
            <w:tcBorders>
              <w:top w:val="single" w:sz="4" w:space="0" w:color="000000"/>
              <w:left w:val="single" w:sz="4" w:space="0" w:color="000000"/>
              <w:bottom w:val="single" w:sz="4" w:space="0" w:color="000000"/>
              <w:right w:val="single" w:sz="4" w:space="0" w:color="000000"/>
            </w:tcBorders>
            <w:vAlign w:val="center"/>
            <w:hideMark/>
          </w:tcPr>
          <w:p w:rsidR="00DF6455" w:rsidRDefault="00DF6455">
            <w:pPr>
              <w:spacing w:after="0"/>
              <w:rPr>
                <w:rFonts w:ascii="Times New Roman" w:eastAsia="Times New Roman" w:hAnsi="Times New Roman"/>
                <w:sz w:val="24"/>
                <w:szCs w:val="24"/>
                <w:lang w:eastAsia="ar-SA"/>
              </w:rPr>
            </w:pPr>
          </w:p>
        </w:tc>
      </w:tr>
      <w:tr w:rsidR="00DF6455" w:rsidTr="00DF6455">
        <w:trPr>
          <w:cantSplit/>
          <w:trHeight w:hRule="exact" w:val="610"/>
        </w:trPr>
        <w:tc>
          <w:tcPr>
            <w:tcW w:w="6166"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2205"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080"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4140" w:type="dxa"/>
            <w:vMerge/>
            <w:tcBorders>
              <w:top w:val="nil"/>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260" w:type="dxa"/>
            <w:vMerge/>
            <w:tcBorders>
              <w:top w:val="nil"/>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Тыс. руб.+/-</w:t>
            </w:r>
          </w:p>
        </w:tc>
        <w:tc>
          <w:tcPr>
            <w:tcW w:w="60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1657" w:type="dxa"/>
            <w:vMerge/>
            <w:tcBorders>
              <w:top w:val="single" w:sz="4" w:space="0" w:color="000000"/>
              <w:left w:val="single" w:sz="4" w:space="0" w:color="000000"/>
              <w:bottom w:val="single" w:sz="4" w:space="0" w:color="000000"/>
              <w:right w:val="single" w:sz="4" w:space="0" w:color="000000"/>
            </w:tcBorders>
            <w:vAlign w:val="center"/>
            <w:hideMark/>
          </w:tcPr>
          <w:p w:rsidR="00DF6455" w:rsidRDefault="00DF6455">
            <w:pPr>
              <w:spacing w:after="0"/>
              <w:rPr>
                <w:rFonts w:ascii="Times New Roman" w:eastAsia="Times New Roman" w:hAnsi="Times New Roman"/>
                <w:sz w:val="24"/>
                <w:szCs w:val="24"/>
                <w:lang w:eastAsia="ar-SA"/>
              </w:rPr>
            </w:pPr>
          </w:p>
        </w:tc>
      </w:tr>
      <w:tr w:rsidR="00DF6455" w:rsidTr="00DF6455">
        <w:tc>
          <w:tcPr>
            <w:tcW w:w="449"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220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108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17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w:t>
            </w:r>
          </w:p>
        </w:tc>
        <w:tc>
          <w:tcPr>
            <w:tcW w:w="126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c>
          <w:tcPr>
            <w:tcW w:w="111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p>
        </w:tc>
        <w:tc>
          <w:tcPr>
            <w:tcW w:w="60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7.</w:t>
            </w:r>
          </w:p>
        </w:tc>
        <w:tc>
          <w:tcPr>
            <w:tcW w:w="1657"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p>
        </w:tc>
      </w:tr>
      <w:tr w:rsidR="00DF6455" w:rsidTr="00DF6455">
        <w:tc>
          <w:tcPr>
            <w:tcW w:w="6166" w:type="dxa"/>
            <w:gridSpan w:val="5"/>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3367" w:type="dxa"/>
            <w:gridSpan w:val="3"/>
            <w:tcBorders>
              <w:top w:val="nil"/>
              <w:left w:val="nil"/>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449"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220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Мероприятие 1</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449"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220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Мероприятие 2</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449"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220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Мероприятие 3</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449"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20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Итого по Программе</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В том числе:</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Федеральный бюджет (ФБ)</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Областной бюджет (ОБ)</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Местный бюджет (МБ)</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Привлечение средства</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Справочно:</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2654" w:type="dxa"/>
            <w:gridSpan w:val="2"/>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Капитальные расходы</w:t>
            </w:r>
          </w:p>
        </w:tc>
        <w:tc>
          <w:tcPr>
            <w:tcW w:w="10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7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6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11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6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57"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bl>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Таблица № 2</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Анализ показателей результативности долгосрочной целевой программы</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tbl>
      <w:tblPr>
        <w:tblW w:w="0" w:type="auto"/>
        <w:tblInd w:w="-45" w:type="dxa"/>
        <w:tblLayout w:type="fixed"/>
        <w:tblLook w:val="04A0" w:firstRow="1" w:lastRow="0" w:firstColumn="1" w:lastColumn="0" w:noHBand="0" w:noVBand="1"/>
      </w:tblPr>
      <w:tblGrid>
        <w:gridCol w:w="374"/>
        <w:gridCol w:w="2700"/>
        <w:gridCol w:w="840"/>
        <w:gridCol w:w="1635"/>
        <w:gridCol w:w="1680"/>
        <w:gridCol w:w="1275"/>
        <w:gridCol w:w="994"/>
      </w:tblGrid>
      <w:tr w:rsidR="00DF6455" w:rsidTr="00DF6455">
        <w:trPr>
          <w:cantSplit/>
          <w:trHeight w:hRule="exact" w:val="480"/>
        </w:trPr>
        <w:tc>
          <w:tcPr>
            <w:tcW w:w="374"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2700"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Наименование показателя</w:t>
            </w:r>
          </w:p>
        </w:tc>
        <w:tc>
          <w:tcPr>
            <w:tcW w:w="840" w:type="dxa"/>
            <w:vMerge w:val="restart"/>
            <w:tcBorders>
              <w:top w:val="single" w:sz="4" w:space="0" w:color="000000"/>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Ед.изм.</w:t>
            </w:r>
          </w:p>
          <w:p w:rsidR="00DF6455" w:rsidRDefault="00DF6455">
            <w:pPr>
              <w:suppressAutoHyphens/>
              <w:spacing w:after="0" w:line="240" w:lineRule="auto"/>
              <w:jc w:val="both"/>
              <w:rPr>
                <w:rFonts w:ascii="Times New Roman" w:eastAsia="Times New Roman" w:hAnsi="Times New Roman"/>
                <w:sz w:val="24"/>
                <w:szCs w:val="24"/>
                <w:lang w:eastAsia="ar-SA"/>
              </w:rPr>
            </w:pPr>
          </w:p>
        </w:tc>
        <w:tc>
          <w:tcPr>
            <w:tcW w:w="1635"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Плановое значение</w:t>
            </w:r>
          </w:p>
        </w:tc>
        <w:tc>
          <w:tcPr>
            <w:tcW w:w="1680" w:type="dxa"/>
            <w:vMerge w:val="restart"/>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Фактическое значение</w:t>
            </w:r>
          </w:p>
        </w:tc>
        <w:tc>
          <w:tcPr>
            <w:tcW w:w="2269" w:type="dxa"/>
            <w:gridSpan w:val="2"/>
            <w:tcBorders>
              <w:top w:val="single" w:sz="4" w:space="0" w:color="000000"/>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Отклонение</w:t>
            </w:r>
          </w:p>
        </w:tc>
      </w:tr>
      <w:tr w:rsidR="00DF6455" w:rsidTr="00DF6455">
        <w:trPr>
          <w:cantSplit/>
        </w:trPr>
        <w:tc>
          <w:tcPr>
            <w:tcW w:w="374"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2700"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840"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635"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680" w:type="dxa"/>
            <w:vMerge/>
            <w:tcBorders>
              <w:top w:val="single" w:sz="4" w:space="0" w:color="000000"/>
              <w:left w:val="single" w:sz="4" w:space="0" w:color="000000"/>
              <w:bottom w:val="single" w:sz="4" w:space="0" w:color="000000"/>
              <w:right w:val="nil"/>
            </w:tcBorders>
            <w:vAlign w:val="center"/>
            <w:hideMark/>
          </w:tcPr>
          <w:p w:rsidR="00DF6455" w:rsidRDefault="00DF6455">
            <w:pPr>
              <w:spacing w:after="0"/>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99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r>
      <w:tr w:rsidR="00DF6455" w:rsidTr="00DF6455">
        <w:tc>
          <w:tcPr>
            <w:tcW w:w="374"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270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84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63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w:t>
            </w:r>
          </w:p>
        </w:tc>
        <w:tc>
          <w:tcPr>
            <w:tcW w:w="168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c>
          <w:tcPr>
            <w:tcW w:w="127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w:t>
            </w:r>
          </w:p>
        </w:tc>
        <w:tc>
          <w:tcPr>
            <w:tcW w:w="993"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7</w:t>
            </w:r>
          </w:p>
        </w:tc>
      </w:tr>
      <w:tr w:rsidR="00DF6455" w:rsidTr="00DF6455">
        <w:tc>
          <w:tcPr>
            <w:tcW w:w="374"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270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Индикатор результативности 1</w:t>
            </w: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374"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270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Индикатор результативности 2</w:t>
            </w: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374"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7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374"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7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374"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7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374"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70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8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3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68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2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993"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bl>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Таблица № 3</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Оценка эффективности реализации долгосрочной целевой программы.</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tbl>
      <w:tblPr>
        <w:tblW w:w="0" w:type="auto"/>
        <w:tblInd w:w="-45" w:type="dxa"/>
        <w:tblLayout w:type="fixed"/>
        <w:tblLook w:val="04A0" w:firstRow="1" w:lastRow="0" w:firstColumn="1" w:lastColumn="0" w:noHBand="0" w:noVBand="1"/>
      </w:tblPr>
      <w:tblGrid>
        <w:gridCol w:w="419"/>
        <w:gridCol w:w="2475"/>
        <w:gridCol w:w="2040"/>
        <w:gridCol w:w="1920"/>
        <w:gridCol w:w="2376"/>
      </w:tblGrid>
      <w:tr w:rsidR="00DF6455" w:rsidTr="00DF6455">
        <w:tc>
          <w:tcPr>
            <w:tcW w:w="419" w:type="dxa"/>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2475" w:type="dxa"/>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Показатели результативности</w:t>
            </w:r>
          </w:p>
        </w:tc>
        <w:tc>
          <w:tcPr>
            <w:tcW w:w="2040" w:type="dxa"/>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Фактические объемы финансирования (суммарно по всем источникам), тыс. руб.</w:t>
            </w:r>
          </w:p>
        </w:tc>
        <w:tc>
          <w:tcPr>
            <w:tcW w:w="1920" w:type="dxa"/>
            <w:tcBorders>
              <w:top w:val="single" w:sz="4" w:space="0" w:color="000000"/>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Фактическое значение показателя (индикатора) результативности в натуральном или стоимостном выражении</w:t>
            </w:r>
          </w:p>
        </w:tc>
        <w:tc>
          <w:tcPr>
            <w:tcW w:w="2376" w:type="dxa"/>
            <w:tcBorders>
              <w:top w:val="single" w:sz="4" w:space="0" w:color="000000"/>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Эффективность реализации долгосрочной целевой программы (гр. 5=гр.</w:t>
            </w:r>
          </w:p>
          <w:p w:rsidR="00DF6455" w:rsidRDefault="00DF6455">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4:гр.3)</w:t>
            </w:r>
          </w:p>
        </w:tc>
      </w:tr>
      <w:tr w:rsidR="00DF6455" w:rsidTr="00DF6455">
        <w:tc>
          <w:tcPr>
            <w:tcW w:w="419"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2475"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204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p>
        </w:tc>
        <w:tc>
          <w:tcPr>
            <w:tcW w:w="1920" w:type="dxa"/>
            <w:tcBorders>
              <w:top w:val="nil"/>
              <w:left w:val="single" w:sz="4" w:space="0" w:color="000000"/>
              <w:bottom w:val="single" w:sz="4" w:space="0" w:color="000000"/>
              <w:right w:val="nil"/>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4</w:t>
            </w:r>
          </w:p>
        </w:tc>
        <w:tc>
          <w:tcPr>
            <w:tcW w:w="2376" w:type="dxa"/>
            <w:tcBorders>
              <w:top w:val="nil"/>
              <w:left w:val="single" w:sz="4" w:space="0" w:color="000000"/>
              <w:bottom w:val="single" w:sz="4" w:space="0" w:color="000000"/>
              <w:right w:val="single" w:sz="4" w:space="0" w:color="000000"/>
            </w:tcBorders>
            <w:hideMark/>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r>
      <w:tr w:rsidR="00DF6455" w:rsidTr="00DF6455">
        <w:tc>
          <w:tcPr>
            <w:tcW w:w="419"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4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0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92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376"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r w:rsidR="00DF6455" w:rsidTr="00DF6455">
        <w:tc>
          <w:tcPr>
            <w:tcW w:w="419"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475"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04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1920" w:type="dxa"/>
            <w:tcBorders>
              <w:top w:val="nil"/>
              <w:left w:val="single" w:sz="4" w:space="0" w:color="000000"/>
              <w:bottom w:val="single" w:sz="4" w:space="0" w:color="000000"/>
              <w:right w:val="nil"/>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c>
          <w:tcPr>
            <w:tcW w:w="2376" w:type="dxa"/>
            <w:tcBorders>
              <w:top w:val="nil"/>
              <w:left w:val="single" w:sz="4" w:space="0" w:color="000000"/>
              <w:bottom w:val="single" w:sz="4" w:space="0" w:color="000000"/>
              <w:right w:val="single" w:sz="4" w:space="0" w:color="000000"/>
            </w:tcBorders>
          </w:tcPr>
          <w:p w:rsidR="00DF6455" w:rsidRDefault="00DF6455">
            <w:pPr>
              <w:suppressAutoHyphens/>
              <w:snapToGrid w:val="0"/>
              <w:spacing w:after="0" w:line="240" w:lineRule="auto"/>
              <w:jc w:val="both"/>
              <w:rPr>
                <w:rFonts w:ascii="Times New Roman" w:eastAsia="Times New Roman" w:hAnsi="Times New Roman"/>
                <w:sz w:val="24"/>
                <w:szCs w:val="24"/>
                <w:lang w:eastAsia="ar-SA"/>
              </w:rPr>
            </w:pPr>
          </w:p>
        </w:tc>
      </w:tr>
    </w:tbl>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rPr>
          <w:rFonts w:ascii="Times New Roman" w:eastAsia="Times New Roman" w:hAnsi="Times New Roman"/>
          <w:sz w:val="24"/>
          <w:szCs w:val="24"/>
          <w:lang w:eastAsia="ar-SA"/>
        </w:rPr>
      </w:pPr>
    </w:p>
    <w:p w:rsidR="00DF6455" w:rsidRDefault="00DF6455" w:rsidP="00DF6455">
      <w:pPr>
        <w:suppressAutoHyphens/>
        <w:spacing w:after="0" w:line="240" w:lineRule="auto"/>
        <w:ind w:left="720"/>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В случае предоставления отчетности на втором или третьем годах реализации долгосрочной целевой программы в таблице указывается также эффективность за прошлые отчетные периоды (с разбивкой по годам реализации долгосрочной целевой программы).</w:t>
      </w: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DF6455" w:rsidRDefault="00DF6455" w:rsidP="00DF6455">
      <w:pPr>
        <w:suppressAutoHyphens/>
        <w:spacing w:after="0" w:line="240" w:lineRule="auto"/>
        <w:jc w:val="both"/>
        <w:rPr>
          <w:rFonts w:ascii="Times New Roman" w:eastAsia="Times New Roman" w:hAnsi="Times New Roman"/>
          <w:sz w:val="24"/>
          <w:szCs w:val="24"/>
          <w:lang w:eastAsia="ar-SA"/>
        </w:rPr>
      </w:pPr>
    </w:p>
    <w:p w:rsidR="00DF6455" w:rsidRDefault="00DF6455" w:rsidP="00DF6455">
      <w:pPr>
        <w:suppressAutoHyphens/>
        <w:spacing w:after="0" w:line="240" w:lineRule="auto"/>
        <w:ind w:left="720"/>
        <w:jc w:val="both"/>
        <w:rPr>
          <w:rFonts w:ascii="Times New Roman" w:eastAsia="Times New Roman" w:hAnsi="Times New Roman"/>
          <w:sz w:val="24"/>
          <w:szCs w:val="24"/>
          <w:lang w:eastAsia="ar-SA"/>
        </w:rPr>
      </w:pPr>
    </w:p>
    <w:p w:rsidR="00332CAA" w:rsidRDefault="00332CAA">
      <w:bookmarkStart w:id="0" w:name="_GoBack"/>
      <w:bookmarkEnd w:id="0"/>
    </w:p>
    <w:sectPr w:rsidR="00332C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0" w:firstLine="0"/>
      </w:p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455"/>
    <w:rsid w:val="00332CAA"/>
    <w:rsid w:val="00DF6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CAA894-61D5-4CD4-BB16-95AD875D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455"/>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40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5290</Words>
  <Characters>30157</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2026-02-11T13:08:00Z</dcterms:created>
  <dcterms:modified xsi:type="dcterms:W3CDTF">2026-02-11T13:09:00Z</dcterms:modified>
</cp:coreProperties>
</file>