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footer1.xml.rels" ContentType="application/vnd.openxmlformats-package.relationship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tabs>
          <w:tab w:val="clear" w:pos="709"/>
          <w:tab w:val="left" w:pos="708" w:leader="none"/>
          <w:tab w:val="center" w:pos="4536" w:leader="none"/>
          <w:tab w:val="right" w:pos="9072" w:leader="none"/>
        </w:tabs>
        <w:spacing w:lineRule="atLeast" w:line="240"/>
        <w:jc w:val="center"/>
        <w:rPr>
          <w:rFonts w:ascii="Times New Roman CYR" w:hAnsi="Times New Roman CYR" w:eastAsia="Times New Roman CYR" w:cs="Times New Roman CYR"/>
          <w:b/>
          <w:b/>
          <w:bCs/>
          <w:color w:val="auto"/>
          <w:sz w:val="32"/>
          <w:szCs w:val="32"/>
          <w:lang w:val="ru-RU" w:eastAsia="ru-RU" w:bidi="ru-RU"/>
        </w:rPr>
      </w:pPr>
      <w:r>
        <w:rPr>
          <w:rFonts w:eastAsia="Times New Roman CYR" w:cs="Times New Roman CYR" w:ascii="Times New Roman CYR" w:hAnsi="Times New Roman CYR"/>
          <w:b/>
          <w:bCs/>
          <w:color w:val="auto"/>
          <w:sz w:val="24"/>
          <w:szCs w:val="24"/>
          <w:lang w:val="ru-RU" w:eastAsia="ru-RU" w:bidi="ru-RU"/>
        </w:rPr>
        <w:t xml:space="preserve">РЕСПУБЛИКА МОРДОВИЯ </w:t>
      </w:r>
    </w:p>
    <w:p>
      <w:pPr>
        <w:pStyle w:val="Normal"/>
        <w:tabs>
          <w:tab w:val="clear" w:pos="709"/>
          <w:tab w:val="left" w:pos="708" w:leader="none"/>
          <w:tab w:val="center" w:pos="4536" w:leader="none"/>
          <w:tab w:val="right" w:pos="9072" w:leader="none"/>
        </w:tabs>
        <w:spacing w:lineRule="atLeast" w:line="240"/>
        <w:jc w:val="center"/>
        <w:rPr>
          <w:rFonts w:ascii="Times New Roman CYR" w:hAnsi="Times New Roman CYR" w:eastAsia="Times New Roman CYR" w:cs="Times New Roman CYR"/>
          <w:b/>
          <w:b/>
          <w:bCs/>
          <w:color w:val="auto"/>
          <w:sz w:val="32"/>
          <w:szCs w:val="32"/>
          <w:lang w:val="ru-RU" w:eastAsia="ru-RU" w:bidi="ru-RU"/>
        </w:rPr>
      </w:pPr>
      <w:r>
        <w:rPr>
          <w:rFonts w:eastAsia="Times New Roman CYR" w:cs="Times New Roman CYR" w:ascii="Times New Roman CYR" w:hAnsi="Times New Roman CYR"/>
          <w:b/>
          <w:bCs/>
          <w:color w:val="auto"/>
          <w:sz w:val="24"/>
          <w:szCs w:val="24"/>
          <w:lang w:val="ru-RU" w:eastAsia="ru-RU" w:bidi="ru-RU"/>
        </w:rPr>
        <w:t xml:space="preserve">АДМИНИСТРАЦИЯ МОРДОВСКО-КОЗЛОВСКОГО СЕЛЬСКОГО ПОСЕЛЕНИЯ АТЮРЬЕВСКОГО МУНИЦИПАЛЬНОГО РАЙОНА </w:t>
      </w:r>
    </w:p>
    <w:p>
      <w:pPr>
        <w:pStyle w:val="Normal"/>
        <w:tabs>
          <w:tab w:val="clear" w:pos="709"/>
          <w:tab w:val="left" w:pos="708" w:leader="none"/>
          <w:tab w:val="center" w:pos="4536" w:leader="none"/>
          <w:tab w:val="right" w:pos="9072" w:leader="none"/>
        </w:tabs>
        <w:spacing w:lineRule="atLeast" w:line="240"/>
        <w:rPr>
          <w:rFonts w:ascii="Times New Roman CYR" w:hAnsi="Times New Roman CYR" w:eastAsia="Times New Roman CYR" w:cs="Times New Roman CYR"/>
          <w:b/>
          <w:b/>
          <w:bCs/>
          <w:color w:val="auto"/>
          <w:sz w:val="32"/>
          <w:szCs w:val="32"/>
          <w:lang w:val="ru-RU" w:eastAsia="ru-RU" w:bidi="ru-RU"/>
        </w:rPr>
      </w:pPr>
      <w:r>
        <w:rPr>
          <w:rFonts w:eastAsia="Times New Roman CYR" w:cs="Times New Roman CYR" w:ascii="Times New Roman CYR" w:hAnsi="Times New Roman CYR"/>
          <w:b/>
          <w:bCs/>
          <w:color w:val="auto"/>
          <w:sz w:val="32"/>
          <w:szCs w:val="32"/>
          <w:lang w:val="ru-RU" w:eastAsia="ru-RU" w:bidi="ru-RU"/>
        </w:rPr>
      </w:r>
    </w:p>
    <w:p>
      <w:pPr>
        <w:pStyle w:val="Normal"/>
        <w:jc w:val="center"/>
        <w:rPr>
          <w:rFonts w:ascii="Times New Roman CYR" w:hAnsi="Times New Roman CYR" w:eastAsia="Times New Roman CYR" w:cs="Times New Roman CYR"/>
          <w:b/>
          <w:b/>
          <w:bCs/>
          <w:color w:val="auto"/>
          <w:sz w:val="32"/>
          <w:szCs w:val="32"/>
          <w:lang w:val="ru-RU" w:eastAsia="ru-RU" w:bidi="ru-RU"/>
        </w:rPr>
      </w:pPr>
      <w:r>
        <w:rPr>
          <w:rFonts w:eastAsia="Times New Roman CYR" w:cs="Times New Roman CYR" w:ascii="Times New Roman CYR" w:hAnsi="Times New Roman CYR"/>
          <w:b/>
          <w:bCs/>
          <w:color w:val="auto"/>
          <w:sz w:val="24"/>
          <w:szCs w:val="24"/>
          <w:lang w:val="ru-RU" w:eastAsia="ru-RU" w:bidi="ru-RU"/>
        </w:rPr>
        <w:t>РЕШЕНИЕ</w:t>
      </w:r>
      <w:r>
        <w:rPr>
          <w:rFonts w:eastAsia="Times New Roman CYR" w:cs="Times New Roman CYR" w:ascii="Times New Roman CYR" w:hAnsi="Times New Roman CYR"/>
          <w:b/>
          <w:bCs/>
          <w:color w:val="auto"/>
          <w:sz w:val="32"/>
          <w:szCs w:val="32"/>
          <w:lang w:val="ru-RU" w:eastAsia="ru-RU" w:bidi="ru-RU"/>
        </w:rPr>
        <w:t xml:space="preserve"> </w:t>
      </w:r>
    </w:p>
    <w:p>
      <w:pPr>
        <w:pStyle w:val="Normal"/>
        <w:jc w:val="center"/>
        <w:rPr>
          <w:rFonts w:ascii="Times New Roman CYR" w:hAnsi="Times New Roman CYR" w:eastAsia="Times New Roman CYR" w:cs="Times New Roman CYR"/>
          <w:b/>
          <w:b/>
          <w:bCs/>
          <w:color w:val="auto"/>
          <w:sz w:val="32"/>
          <w:szCs w:val="32"/>
          <w:lang w:val="ru-RU" w:eastAsia="ru-RU" w:bidi="ru-RU"/>
        </w:rPr>
      </w:pPr>
      <w:r>
        <w:rPr/>
      </w:r>
    </w:p>
    <w:p>
      <w:pPr>
        <w:pStyle w:val="Normal"/>
        <w:numPr>
          <w:ilvl w:val="0"/>
          <w:numId w:val="0"/>
        </w:numPr>
        <w:tabs>
          <w:tab w:val="clear" w:pos="709"/>
          <w:tab w:val="left" w:pos="7950" w:leader="none"/>
        </w:tabs>
        <w:ind w:left="0" w:hanging="0"/>
        <w:jc w:val="center"/>
        <w:outlineLvl w:val="0"/>
        <w:rPr>
          <w:rFonts w:ascii="Times New Roman CYR" w:hAnsi="Times New Roman CYR" w:eastAsia="Times New Roman CYR" w:cs="Times New Roman CYR"/>
          <w:b w:val="false"/>
          <w:b w:val="false"/>
          <w:bCs w:val="false"/>
          <w:color w:val="auto"/>
          <w:sz w:val="28"/>
          <w:szCs w:val="28"/>
          <w:lang w:val="ru-RU" w:eastAsia="ru-RU" w:bidi="ru-RU"/>
        </w:rPr>
      </w:pPr>
      <w:r>
        <w:rPr>
          <w:rFonts w:eastAsia="Times New Roman CYR" w:cs="Times New Roman CYR" w:ascii="Times New Roman" w:hAnsi="Times New Roman"/>
          <w:b/>
          <w:bCs/>
          <w:color w:val="auto"/>
          <w:sz w:val="24"/>
          <w:szCs w:val="24"/>
          <w:lang w:val="ru-RU" w:eastAsia="ru-RU" w:bidi="ru-RU"/>
        </w:rPr>
        <w:t xml:space="preserve">от </w:t>
      </w:r>
      <w:r>
        <w:rPr>
          <w:rFonts w:eastAsia="Times New Roman CYR" w:cs="Times New Roman CYR" w:ascii="Times New Roman" w:hAnsi="Times New Roman"/>
          <w:b/>
          <w:bCs/>
          <w:color w:val="auto"/>
          <w:sz w:val="24"/>
          <w:szCs w:val="24"/>
          <w:lang w:val="ru-RU" w:eastAsia="ru-RU" w:bidi="ru-RU"/>
        </w:rPr>
        <w:t>15 декабря</w:t>
      </w:r>
      <w:r>
        <w:rPr>
          <w:rFonts w:eastAsia="Times New Roman CYR" w:cs="Times New Roman CYR" w:ascii="Times New Roman" w:hAnsi="Times New Roman"/>
          <w:b/>
          <w:bCs/>
          <w:color w:val="auto"/>
          <w:sz w:val="24"/>
          <w:szCs w:val="24"/>
          <w:lang w:val="ru-RU" w:eastAsia="ru-RU" w:bidi="ru-RU"/>
        </w:rPr>
        <w:t xml:space="preserve"> 2025 года № </w:t>
      </w:r>
      <w:r>
        <w:rPr>
          <w:rFonts w:eastAsia="Times New Roman CYR" w:cs="Times New Roman CYR" w:ascii="Times New Roman" w:hAnsi="Times New Roman"/>
          <w:b/>
          <w:bCs/>
          <w:color w:val="auto"/>
          <w:sz w:val="24"/>
          <w:szCs w:val="24"/>
          <w:lang w:val="ru-RU" w:eastAsia="ru-RU" w:bidi="ru-RU"/>
        </w:rPr>
        <w:t>94</w:t>
      </w:r>
      <w:r>
        <w:rPr>
          <w:rFonts w:eastAsia="Times New Roman CYR" w:cs="Times New Roman CYR" w:ascii="Times New Roman" w:hAnsi="Times New Roman"/>
          <w:b/>
          <w:bCs/>
          <w:color w:val="auto"/>
          <w:sz w:val="24"/>
          <w:szCs w:val="24"/>
          <w:lang w:val="ru-RU" w:eastAsia="ru-RU" w:bidi="ru-RU"/>
        </w:rPr>
        <w:t xml:space="preserve"> </w:t>
      </w:r>
      <w:r>
        <w:rPr>
          <w:rFonts w:eastAsia="Times New Roman CYR" w:cs="Times New Roman CYR" w:ascii="Times New Roman CYR" w:hAnsi="Times New Roman CYR"/>
          <w:b w:val="false"/>
          <w:bCs w:val="false"/>
          <w:color w:val="auto"/>
          <w:sz w:val="24"/>
          <w:szCs w:val="24"/>
          <w:lang w:val="ru-RU" w:eastAsia="ru-RU" w:bidi="ru-RU"/>
        </w:rPr>
        <w:t xml:space="preserve"> </w:t>
      </w:r>
    </w:p>
    <w:p>
      <w:pPr>
        <w:pStyle w:val="ConsPlusTitle"/>
        <w:jc w:val="center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tabs>
          <w:tab w:val="clear" w:pos="709"/>
          <w:tab w:val="left" w:pos="7950" w:leader="none"/>
        </w:tabs>
        <w:ind w:right="57" w:hanging="0"/>
        <w:jc w:val="center"/>
        <w:rPr>
          <w:b/>
          <w:b/>
          <w:sz w:val="24"/>
          <w:szCs w:val="24"/>
        </w:rPr>
      </w:pPr>
      <w:r>
        <w:rPr>
          <w:rFonts w:eastAsia="Times New Roman CYR" w:cs="Times New Roman CYR" w:ascii="Times New Roman CYR" w:hAnsi="Times New Roman CYR"/>
          <w:b/>
          <w:bCs w:val="false"/>
          <w:color w:val="auto"/>
          <w:sz w:val="24"/>
          <w:szCs w:val="24"/>
          <w:lang w:val="ru-RU" w:eastAsia="ru-RU" w:bidi="ru-RU"/>
        </w:rPr>
        <w:t>ОБ УСТАНОВЛЕНИИ ЛЬГОТЫ ПО НАЛОГУ НА ИМУЩЕСТВО ФИЗИЧЕСКИХ ЛИЦ УЧАСТНИКАМ СПЕЦИАЛЬНОЙ ВОЕННОЙ ОПЕРАЦИИ И ЧЛЕНАМ ИХ СЕМЕЙ</w:t>
      </w:r>
    </w:p>
    <w:p>
      <w:pPr>
        <w:pStyle w:val="ConsPlusNormal"/>
        <w:jc w:val="both"/>
        <w:rPr/>
      </w:pPr>
      <w:r>
        <w:rPr/>
      </w:r>
    </w:p>
    <w:p>
      <w:pPr>
        <w:pStyle w:val="ConsPlusNormal"/>
        <w:ind w:firstLine="540"/>
        <w:jc w:val="both"/>
        <w:rPr/>
      </w:pPr>
      <w:r>
        <w:rPr>
          <w:sz w:val="24"/>
        </w:rPr>
        <w:t>В соответствии со статьей 407 Налогового кодекса Российской Федерации, статьей 16 Федерального закона от 20 марта 2025 года № 33-ФЗ "Об общих принципах организации местного самоуправления в единой системе публичной власти",</w:t>
      </w:r>
      <w:bookmarkStart w:id="0" w:name="P13"/>
      <w:bookmarkEnd w:id="0"/>
      <w:r>
        <w:rPr>
          <w:sz w:val="24"/>
          <w:szCs w:val="24"/>
        </w:rPr>
        <w:t>Уставом Мордовско-Козловского сельского поселения Атюрьевского муниципального района Республики Мордовия, Совет депутатов Мордовско-Козловского сельского поселения</w:t>
      </w:r>
      <w:r>
        <w:rPr>
          <w:i/>
          <w:iCs/>
          <w:sz w:val="24"/>
          <w:szCs w:val="24"/>
        </w:rPr>
        <w:t xml:space="preserve"> </w:t>
      </w:r>
      <w:r>
        <w:rPr>
          <w:sz w:val="24"/>
          <w:szCs w:val="24"/>
        </w:rPr>
        <w:t>решил:</w:t>
      </w:r>
    </w:p>
    <w:p>
      <w:pPr>
        <w:pStyle w:val="ConsPlusNormal"/>
        <w:ind w:firstLine="540"/>
        <w:jc w:val="both"/>
        <w:rPr>
          <w:rFonts w:ascii="Times New Roman" w:hAnsi="Times New Roman"/>
          <w:sz w:val="24"/>
          <w:szCs w:val="24"/>
        </w:rPr>
      </w:pPr>
      <w:r>
        <w:rPr>
          <w:sz w:val="24"/>
          <w:szCs w:val="24"/>
        </w:rPr>
      </w:r>
    </w:p>
    <w:p>
      <w:pPr>
        <w:pStyle w:val="ConsPlusNormal"/>
        <w:spacing w:before="0" w:after="0"/>
        <w:ind w:firstLine="540"/>
        <w:jc w:val="both"/>
        <w:rPr/>
      </w:pPr>
      <w:r>
        <w:rPr>
          <w:sz w:val="24"/>
        </w:rPr>
        <w:t>1. Освободить от уплаты налога на имущество физических лиц:</w:t>
      </w:r>
      <w:bookmarkStart w:id="1" w:name="P14"/>
      <w:bookmarkEnd w:id="1"/>
    </w:p>
    <w:p>
      <w:pPr>
        <w:pStyle w:val="ConsPlusNormal"/>
        <w:spacing w:before="0" w:after="0"/>
        <w:ind w:firstLine="540"/>
        <w:jc w:val="both"/>
        <w:rPr/>
      </w:pPr>
      <w:r>
        <w:rPr>
          <w:sz w:val="24"/>
        </w:rPr>
        <w:t>1) граждан, призванных на военную службу по мобилизации в Вооруженные Силы Российской Федерации;</w:t>
      </w:r>
      <w:bookmarkStart w:id="2" w:name="P15"/>
      <w:bookmarkEnd w:id="2"/>
    </w:p>
    <w:p>
      <w:pPr>
        <w:pStyle w:val="ConsPlusNormal"/>
        <w:spacing w:before="0" w:after="0"/>
        <w:ind w:firstLine="540"/>
        <w:jc w:val="both"/>
        <w:rPr/>
      </w:pPr>
      <w:r>
        <w:rPr>
          <w:sz w:val="24"/>
        </w:rPr>
        <w:t>2) граждан, заключивших в связи с участием в специальной военной операции контракт на прохождение военной службы или контракт о пребывании в добровольческом формировании (о добровольном содействии в выполнении задач, возложенных на Вооруженные Силы Российской Федерации);</w:t>
      </w:r>
      <w:bookmarkStart w:id="3" w:name="P16"/>
      <w:bookmarkEnd w:id="3"/>
    </w:p>
    <w:p>
      <w:pPr>
        <w:pStyle w:val="ConsPlusNormal"/>
        <w:spacing w:before="0" w:after="0"/>
        <w:ind w:firstLine="540"/>
        <w:jc w:val="both"/>
        <w:rPr/>
      </w:pPr>
      <w:r>
        <w:rPr>
          <w:sz w:val="24"/>
        </w:rPr>
        <w:t xml:space="preserve">3) супругу (супруга), несовершеннолетних детей, детей старше 18 лет, ставших инвалидами до достижения ими возраста 18 лет, детей в возрасте до 23 лет, обучающихся в образовательных организациях по очной форме обучения, родителей (усыновителей), лиц, находящихся на иждивении, граждан, указанных в </w:t>
      </w:r>
      <w:hyperlink w:anchor="P14" w:tgtFrame="1) граждан, призванных на военную службу по мобилизации в Вооруженные Силы Российской Федерации;">
        <w:r>
          <w:rPr>
            <w:color w:val="0000FF"/>
            <w:sz w:val="24"/>
          </w:rPr>
          <w:t>подпунктах 1</w:t>
        </w:r>
      </w:hyperlink>
      <w:r>
        <w:rPr>
          <w:sz w:val="24"/>
        </w:rPr>
        <w:t xml:space="preserve">, </w:t>
      </w:r>
      <w:hyperlink w:anchor="P15" w:tgtFrame="2) граждан, заключивших в связи с участием в специальной военной операции контракт на прохождение военной службы или контракт о пребывании в добровольческом формировании (о добровольном содействии в выполнении задач, возложенных на Вооруженные Силы Российской Федерации);">
        <w:r>
          <w:rPr>
            <w:color w:val="0000FF"/>
            <w:sz w:val="24"/>
          </w:rPr>
          <w:t>2 пункта 1</w:t>
        </w:r>
      </w:hyperlink>
      <w:r>
        <w:rPr>
          <w:sz w:val="24"/>
        </w:rPr>
        <w:t xml:space="preserve"> настоящего решения.</w:t>
      </w:r>
    </w:p>
    <w:p>
      <w:pPr>
        <w:pStyle w:val="ConsPlusNormal"/>
        <w:spacing w:before="0" w:after="0"/>
        <w:ind w:firstLine="540"/>
        <w:jc w:val="both"/>
        <w:rPr/>
      </w:pPr>
      <w:r>
        <w:rPr>
          <w:sz w:val="24"/>
        </w:rPr>
        <w:t xml:space="preserve">2. Граждане, указанные в </w:t>
      </w:r>
      <w:hyperlink w:anchor="P13" w:tgtFrame="1. Освободить от уплаты налога на имущество физических лиц:">
        <w:r>
          <w:rPr>
            <w:color w:val="0000FF"/>
            <w:sz w:val="24"/>
          </w:rPr>
          <w:t>пункте 1</w:t>
        </w:r>
      </w:hyperlink>
      <w:r>
        <w:rPr>
          <w:sz w:val="24"/>
        </w:rPr>
        <w:t xml:space="preserve"> настоящего решения, могут воспользоваться льготой только в отношении одного объекта налогообложения, находящегося в собственности налогоплательщика и не используемого (не предназначенного для использования) в предпринимательской деятельности, по выбору налогоплательщика.</w:t>
      </w:r>
    </w:p>
    <w:p>
      <w:pPr>
        <w:pStyle w:val="ConsPlusNormal"/>
        <w:spacing w:before="0" w:after="0"/>
        <w:ind w:firstLine="540"/>
        <w:jc w:val="both"/>
        <w:rPr/>
      </w:pPr>
      <w:r>
        <w:rPr>
          <w:sz w:val="24"/>
        </w:rPr>
        <w:t xml:space="preserve">Лицам, указанным в </w:t>
      </w:r>
      <w:hyperlink w:anchor="P16" w:tgtFrame="3) супругу (супруга), несовершеннолетних детей, детей старше 18 лет, ставших инвалидами до достижения ими возраста 18 лет, детей в возрасте до 23 лет, обучающихся в образовательных организациях по очной форме обучения, родителей (усыновителей), лиц, находящихся на иждивении, граждан, указанных в подпунктах 1, 2 пункта 1 настоящего решения.">
        <w:r>
          <w:rPr>
            <w:color w:val="0000FF"/>
            <w:sz w:val="24"/>
          </w:rPr>
          <w:t>подпункте 3 пункта 1</w:t>
        </w:r>
      </w:hyperlink>
      <w:r>
        <w:rPr>
          <w:sz w:val="24"/>
        </w:rPr>
        <w:t xml:space="preserve"> настоящего решения, соответствующая налоговая льгота предоставляется только за период участия лиц, указанных в </w:t>
      </w:r>
      <w:hyperlink w:anchor="P14" w:tgtFrame="1) граждан, призванных на военную службу по мобилизации в Вооруженные Силы Российской Федерации;">
        <w:r>
          <w:rPr>
            <w:color w:val="0000FF"/>
            <w:sz w:val="24"/>
          </w:rPr>
          <w:t>подпунктах 1</w:t>
        </w:r>
      </w:hyperlink>
      <w:r>
        <w:rPr>
          <w:sz w:val="24"/>
        </w:rPr>
        <w:t xml:space="preserve">, </w:t>
      </w:r>
      <w:hyperlink w:anchor="P15" w:tgtFrame="2) граждан, заключивших в связи с участием в специальной военной операции контракт на прохождение военной службы или контракт о пребывании в добровольческом формировании (о добровольном содействии в выполнении задач, возложенных на Вооруженные Силы Российской Федерации);">
        <w:r>
          <w:rPr>
            <w:color w:val="0000FF"/>
            <w:sz w:val="24"/>
          </w:rPr>
          <w:t>2 пункта 1</w:t>
        </w:r>
      </w:hyperlink>
      <w:r>
        <w:rPr>
          <w:sz w:val="24"/>
        </w:rPr>
        <w:t xml:space="preserve"> настоящего решения, в специальной военной операции.</w:t>
      </w:r>
    </w:p>
    <w:p>
      <w:pPr>
        <w:pStyle w:val="ConsPlusNormal"/>
        <w:spacing w:before="0" w:after="0"/>
        <w:ind w:firstLine="540"/>
        <w:jc w:val="both"/>
        <w:rPr/>
      </w:pPr>
      <w:r>
        <w:rPr>
          <w:sz w:val="24"/>
        </w:rPr>
        <w:t xml:space="preserve">Периодом участия в специальной военной операции для целей применения налоговой льготы признается налоговый период, в течение которого лицо, указанное в </w:t>
      </w:r>
      <w:hyperlink w:anchor="P14" w:tgtFrame="1) граждан, призванных на военную службу по мобилизации в Вооруженные Силы Российской Федерации;">
        <w:r>
          <w:rPr>
            <w:color w:val="0000FF"/>
            <w:sz w:val="24"/>
          </w:rPr>
          <w:t>подпунктах 1</w:t>
        </w:r>
      </w:hyperlink>
      <w:r>
        <w:rPr>
          <w:sz w:val="24"/>
        </w:rPr>
        <w:t xml:space="preserve">, </w:t>
      </w:r>
      <w:hyperlink w:anchor="P15" w:tgtFrame="2) граждан, заключивших в связи с участием в специальной военной операции контракт на прохождение военной службы или контракт о пребывании в добровольческом формировании (о добровольном содействии в выполнении задач, возложенных на Вооруженные Силы Российской Федерации);">
        <w:r>
          <w:rPr>
            <w:color w:val="0000FF"/>
            <w:sz w:val="24"/>
          </w:rPr>
          <w:t>2 пункта 1</w:t>
        </w:r>
      </w:hyperlink>
      <w:r>
        <w:rPr>
          <w:sz w:val="24"/>
        </w:rPr>
        <w:t xml:space="preserve"> настоящего решения, было привлечено к участию в специальной военной операции независимо от срока такого участия в течение налогового периода.</w:t>
      </w:r>
    </w:p>
    <w:p>
      <w:pPr>
        <w:pStyle w:val="ConsPlusNormal"/>
        <w:spacing w:lineRule="auto" w:line="240" w:before="0" w:after="0"/>
        <w:ind w:firstLine="540"/>
        <w:jc w:val="both"/>
        <w:rPr/>
      </w:pPr>
      <w:r>
        <w:rPr>
          <w:sz w:val="24"/>
        </w:rPr>
        <w:t>Льгота по налогу на имущество физических лиц предоставляется в порядке, предусмотренном налоговым законодательством Российской Федерации.</w:t>
      </w:r>
    </w:p>
    <w:p>
      <w:pPr>
        <w:pStyle w:val="ConsPlusNormal"/>
        <w:spacing w:before="0" w:after="0"/>
        <w:ind w:firstLine="540"/>
        <w:jc w:val="both"/>
        <w:rPr/>
      </w:pPr>
      <w:r>
        <w:rPr>
          <w:sz w:val="24"/>
        </w:rPr>
        <w:t xml:space="preserve">3. Настоящее решение вступает в силу после дня его </w:t>
      </w:r>
      <w:r>
        <w:rPr>
          <w:rFonts w:eastAsia="Times New Roman" w:cs="Times New Roman"/>
          <w:kern w:val="2"/>
          <w:sz w:val="24"/>
          <w:szCs w:val="24"/>
          <w:lang w:eastAsia="ru-RU"/>
        </w:rPr>
        <w:t>официального опубликования в информационном бюллетене Мордовско-Козловского сельского поселения и на официальном сайте в сети Интернет</w:t>
      </w:r>
      <w:r>
        <w:rPr>
          <w:rFonts w:eastAsia="NSimSun" w:cs="Times New Roman"/>
          <w:color w:val="auto"/>
          <w:kern w:val="2"/>
          <w:sz w:val="24"/>
          <w:szCs w:val="24"/>
          <w:lang w:val="ru-RU" w:eastAsia="zh-CN" w:bidi="hi-IN"/>
        </w:rPr>
        <w:t xml:space="preserve"> </w:t>
      </w:r>
      <w:r>
        <w:rPr>
          <w:sz w:val="24"/>
        </w:rPr>
        <w:t xml:space="preserve"> и распространяется на правоотношения, связанные с исчислением налога на имущество физических лиц за налоговые периоды 2023 и 2024 годов.</w:t>
      </w:r>
    </w:p>
    <w:p>
      <w:pPr>
        <w:pStyle w:val="ConsPlusNormal"/>
        <w:spacing w:before="0" w:after="0"/>
        <w:ind w:firstLine="540"/>
        <w:jc w:val="both"/>
        <w:rPr>
          <w:sz w:val="24"/>
        </w:rPr>
      </w:pPr>
      <w:r>
        <w:rPr>
          <w:sz w:val="24"/>
        </w:rPr>
      </w:r>
    </w:p>
    <w:p>
      <w:pPr>
        <w:pStyle w:val="ConsPlusNormal"/>
        <w:spacing w:before="0" w:after="0"/>
        <w:ind w:firstLine="540"/>
        <w:jc w:val="both"/>
        <w:rPr>
          <w:sz w:val="24"/>
        </w:rPr>
      </w:pPr>
      <w:r>
        <w:rPr>
          <w:sz w:val="24"/>
        </w:rPr>
      </w:r>
    </w:p>
    <w:p>
      <w:pPr>
        <w:pStyle w:val="ConsPlusNormal"/>
        <w:spacing w:before="0" w:after="0"/>
        <w:ind w:firstLine="540"/>
        <w:jc w:val="right"/>
        <w:rPr>
          <w:rFonts w:ascii="Times New Roman" w:hAnsi="Times New Roman" w:eastAsia="NSimSun" w:cs="Times New Roman"/>
          <w:color w:val="auto"/>
          <w:kern w:val="2"/>
          <w:sz w:val="24"/>
          <w:szCs w:val="24"/>
          <w:lang w:val="ru-RU" w:eastAsia="zh-CN" w:bidi="hi-IN"/>
        </w:rPr>
      </w:pPr>
      <w:r>
        <w:rPr>
          <w:rFonts w:eastAsia="NSimSun" w:cs="Times New Roman"/>
          <w:color w:val="auto"/>
          <w:kern w:val="2"/>
          <w:sz w:val="24"/>
          <w:szCs w:val="24"/>
          <w:lang w:val="ru-RU" w:eastAsia="zh-CN" w:bidi="hi-IN"/>
        </w:rPr>
        <w:t>Глава</w:t>
      </w:r>
    </w:p>
    <w:p>
      <w:pPr>
        <w:pStyle w:val="ConsPlusNormal"/>
        <w:spacing w:before="0" w:after="0"/>
        <w:ind w:firstLine="540"/>
        <w:jc w:val="right"/>
        <w:rPr/>
      </w:pPr>
      <w:r>
        <w:rPr>
          <w:sz w:val="24"/>
        </w:rPr>
        <w:t xml:space="preserve">Мордовско-Козловского сельского поселения </w:t>
      </w:r>
    </w:p>
    <w:p>
      <w:pPr>
        <w:pStyle w:val="ConsPlusNormal"/>
        <w:spacing w:before="0" w:after="0"/>
        <w:ind w:firstLine="540"/>
        <w:jc w:val="right"/>
        <w:rPr/>
      </w:pPr>
      <w:r>
        <w:rPr>
          <w:rFonts w:eastAsia="NSimSun" w:cs="Times New Roman"/>
          <w:color w:val="auto"/>
          <w:kern w:val="2"/>
          <w:sz w:val="24"/>
          <w:szCs w:val="24"/>
          <w:lang w:val="ru-RU" w:eastAsia="zh-CN" w:bidi="hi-IN"/>
        </w:rPr>
        <w:t>В.Н.Шукшин</w:t>
      </w:r>
    </w:p>
    <w:sectPr>
      <w:headerReference w:type="default" r:id="rId2"/>
      <w:headerReference w:type="first" r:id="rId3"/>
      <w:footerReference w:type="default" r:id="rId4"/>
      <w:footerReference w:type="first" r:id="rId5"/>
      <w:type w:val="nextPage"/>
      <w:pgSz w:w="11906" w:h="16838"/>
      <w:pgMar w:left="1133" w:right="566" w:header="0" w:top="1440" w:footer="0" w:bottom="1440" w:gutter="0"/>
      <w:pgNumType w:fmt="decimal"/>
      <w:formProt w:val="false"/>
      <w:titlePg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 New Roman">
    <w:charset w:val="cc"/>
    <w:family w:val="roman"/>
    <w:pitch w:val="variable"/>
  </w:font>
  <w:font w:name="Courier New">
    <w:charset w:val="cc"/>
    <w:family w:val="roman"/>
    <w:pitch w:val="variable"/>
  </w:font>
  <w:font w:name="Arial">
    <w:charset w:val="cc"/>
    <w:family w:val="roman"/>
    <w:pitch w:val="variable"/>
  </w:font>
  <w:font w:name="Tahoma">
    <w:charset w:val="cc"/>
    <w:family w:val="roman"/>
    <w:pitch w:val="variable"/>
  </w:font>
  <w:font w:name="Times New Roman CYR">
    <w:charset w:val="cc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ConsPlusNormal"/>
      <w:pBdr>
        <w:bottom w:val="single" w:sz="12" w:space="0" w:color="000000"/>
      </w:pBdr>
      <w:rPr>
        <w:sz w:val="2"/>
        <w:szCs w:val="2"/>
      </w:rPr>
    </w:pPr>
    <w:r>
      <w:rPr>
        <w:sz w:val="2"/>
        <w:szCs w:val="2"/>
      </w:rPr>
    </w:r>
  </w:p>
  <w:tbl>
    <w:tblPr>
      <w:tblW w:w="5000" w:type="pct"/>
      <w:jc w:val="left"/>
      <w:tblInd w:w="0" w:type="dxa"/>
      <w:tblCellMar>
        <w:top w:w="0" w:type="dxa"/>
        <w:left w:w="40" w:type="dxa"/>
        <w:bottom w:w="0" w:type="dxa"/>
        <w:right w:w="40" w:type="dxa"/>
      </w:tblCellMar>
      <w:tblLook w:firstRow="0" w:noVBand="0" w:lastRow="0" w:firstColumn="0" w:lastColumn="0" w:noHBand="0"/>
    </w:tblPr>
    <w:tblGrid>
      <w:gridCol w:w="3402"/>
      <w:gridCol w:w="3402"/>
      <w:gridCol w:w="3403"/>
    </w:tblGrid>
    <w:tr>
      <w:trPr>
        <w:trHeight w:val="1663" w:hRule="exact"/>
      </w:trPr>
      <w:tc>
        <w:tcPr>
          <w:tcW w:w="3402" w:type="dxa"/>
          <w:tcBorders/>
          <w:vAlign w:val="center"/>
        </w:tcPr>
        <w:p>
          <w:pPr>
            <w:pStyle w:val="ConsPlusNormal"/>
            <w:rPr/>
          </w:pPr>
          <w:r>
            <w:rPr>
              <w:rFonts w:cs="Tahoma" w:ascii="Tahoma" w:hAnsi="Tahoma"/>
              <w:b/>
              <w:color w:val="F58220"/>
              <w:sz w:val="28"/>
              <w:szCs w:val="28"/>
            </w:rPr>
            <w:t>КонсультантПлюс</w:t>
          </w:r>
          <w:r>
            <w:rPr>
              <w:rFonts w:cs="Tahoma" w:ascii="Tahoma" w:hAnsi="Tahoma"/>
              <w:b/>
              <w:sz w:val="16"/>
              <w:szCs w:val="16"/>
            </w:rPr>
            <w:br/>
            <w:t>надежная правовая поддержка</w:t>
          </w:r>
        </w:p>
      </w:tc>
      <w:tc>
        <w:tcPr>
          <w:tcW w:w="3402" w:type="dxa"/>
          <w:tcBorders/>
          <w:vAlign w:val="center"/>
        </w:tcPr>
        <w:p>
          <w:pPr>
            <w:pStyle w:val="ConsPlusNormal"/>
            <w:jc w:val="center"/>
            <w:rPr/>
          </w:pPr>
          <w:hyperlink r:id="rId1">
            <w:r>
              <w:rPr>
                <w:rFonts w:cs="Tahoma" w:ascii="Tahoma" w:hAnsi="Tahoma"/>
                <w:b/>
                <w:color w:val="0000FF"/>
              </w:rPr>
              <w:t>www.consultant.ru</w:t>
            </w:r>
          </w:hyperlink>
        </w:p>
      </w:tc>
      <w:tc>
        <w:tcPr>
          <w:tcW w:w="3403" w:type="dxa"/>
          <w:tcBorders/>
          <w:vAlign w:val="center"/>
        </w:tcPr>
        <w:p>
          <w:pPr>
            <w:pStyle w:val="ConsPlusNormal"/>
            <w:jc w:val="right"/>
            <w:rPr/>
          </w:pPr>
          <w:r>
            <w:rPr>
              <w:rFonts w:cs="Tahoma" w:ascii="Tahoma" w:hAnsi="Tahoma"/>
            </w:rPr>
            <w:t xml:space="preserve">Страница </w:t>
          </w:r>
          <w:r>
            <w:rPr/>
            <w:fldChar w:fldCharType="begin"/>
          </w:r>
          <w:r>
            <w:rPr/>
            <w:instrText> PAGE </w:instrText>
          </w:r>
          <w:r>
            <w:rPr/>
            <w:fldChar w:fldCharType="separate"/>
          </w:r>
          <w:r>
            <w:rPr/>
            <w:t>0</w:t>
          </w:r>
          <w:r>
            <w:rPr/>
            <w:fldChar w:fldCharType="end"/>
          </w:r>
          <w:r>
            <w:rPr>
              <w:rFonts w:cs="Tahoma" w:ascii="Tahoma" w:hAnsi="Tahoma"/>
            </w:rPr>
            <w:t xml:space="preserve"> из </w:t>
          </w:r>
          <w:r>
            <w:rPr/>
            <w:fldChar w:fldCharType="begin"/>
          </w:r>
          <w:r>
            <w:rPr/>
            <w:instrText> NUMPAGES </w:instrText>
          </w:r>
          <w:r>
            <w:rPr/>
            <w:fldChar w:fldCharType="separate"/>
          </w:r>
          <w:r>
            <w:rPr/>
            <w:t>1</w:t>
          </w:r>
          <w:r>
            <w:rPr/>
            <w:fldChar w:fldCharType="end"/>
          </w:r>
        </w:p>
      </w:tc>
    </w:tr>
  </w:tbl>
  <w:p>
    <w:pPr>
      <w:pStyle w:val="ConsPlusNormal"/>
      <w:rPr/>
    </w:pPr>
    <w:r>
      <w:rPr>
        <w:sz w:val="2"/>
        <w:szCs w:val="2"/>
      </w:rPr>
      <w:t>1</w:t>
    </w:r>
  </w:p>
</w:ftr>
</file>

<file path=word/footer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ConsPlusNormal"/>
      <w:pBdr>
        <w:bottom w:val="single" w:sz="12" w:space="0" w:color="000000"/>
      </w:pBdr>
      <w:rPr>
        <w:sz w:val="2"/>
        <w:szCs w:val="2"/>
      </w:rPr>
    </w:pPr>
    <w:r>
      <w:rPr>
        <w:sz w:val="2"/>
        <w:szCs w:val="2"/>
      </w:rPr>
    </w:r>
  </w:p>
  <w:p>
    <w:pPr>
      <w:pStyle w:val="ConsPlusNormal"/>
      <w:rPr/>
    </w:pPr>
    <w:r>
      <w:rPr>
        <w:sz w:val="2"/>
        <w:szCs w:val="2"/>
      </w:rPr>
      <w:t>1</w:t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ConsPlusNormal"/>
      <w:pBdr>
        <w:bottom w:val="single" w:sz="12" w:space="0" w:color="000000"/>
      </w:pBdr>
      <w:rPr>
        <w:sz w:val="2"/>
        <w:szCs w:val="2"/>
      </w:rPr>
    </w:pPr>
    <w:r>
      <w:rPr>
        <w:sz w:val="2"/>
        <w:szCs w:val="2"/>
      </w:rPr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ConsPlusNormal"/>
      <w:pBdr>
        <w:bottom w:val="single" w:sz="12" w:space="0" w:color="000000"/>
      </w:pBdr>
      <w:rPr>
        <w:sz w:val="2"/>
        <w:szCs w:val="2"/>
      </w:rPr>
    </w:pPr>
    <w:r>
      <w:rPr>
        <w:sz w:val="2"/>
        <w:szCs w:val="2"/>
      </w:rPr>
    </w:r>
  </w:p>
  <w:p>
    <w:pPr>
      <w:pStyle w:val="ConsPlusNormal"/>
      <w:rPr/>
    </w:pPr>
    <w:r>
      <w:rPr/>
    </w:r>
  </w:p>
</w:hdr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NSimSun" w:cs="Arial"/>
        <w:kern w:val="2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/>
      <w:bidi w:val="0"/>
      <w:spacing w:lineRule="auto" w:line="240" w:before="0" w:after="0"/>
      <w:jc w:val="left"/>
    </w:pPr>
    <w:rPr>
      <w:rFonts w:ascii="Calibri" w:hAnsi="Calibri" w:eastAsia="NSimSun" w:cs="Arial"/>
      <w:color w:val="auto"/>
      <w:kern w:val="2"/>
      <w:sz w:val="24"/>
      <w:szCs w:val="24"/>
      <w:lang w:val="ru-RU" w:eastAsia="zh-CN" w:bidi="hi-IN"/>
    </w:rPr>
  </w:style>
  <w:style w:type="character" w:styleId="Style14">
    <w:name w:val="Интернет-ссылка"/>
    <w:rPr>
      <w:color w:val="000080"/>
      <w:u w:val="single"/>
      <w:lang w:val="zxx" w:eastAsia="zxx" w:bidi="zxx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16">
    <w:name w:val="Body Text"/>
    <w:basedOn w:val="Normal"/>
    <w:pPr>
      <w:spacing w:lineRule="auto" w:line="276" w:before="0" w:after="140"/>
    </w:pPr>
    <w:rPr/>
  </w:style>
  <w:style w:type="paragraph" w:styleId="Style17">
    <w:name w:val="List"/>
    <w:basedOn w:val="Style16"/>
    <w:pPr/>
    <w:rPr>
      <w:rFonts w:cs="Arial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Arial"/>
    </w:rPr>
  </w:style>
  <w:style w:type="paragraph" w:styleId="ConsPlusNormal" w:default="1" w:customStyle="1">
    <w:name w:val="ConsPlusNormal"/>
    <w:qFormat/>
    <w:pPr>
      <w:widowControl w:val="false"/>
      <w:bidi w:val="0"/>
      <w:spacing w:lineRule="auto" w:line="240" w:before="0" w:after="0"/>
      <w:jc w:val="left"/>
    </w:pPr>
    <w:rPr>
      <w:rFonts w:ascii="Times New Roman" w:hAnsi="Times New Roman" w:eastAsia="NSimSun" w:cs="Times New Roman"/>
      <w:color w:val="auto"/>
      <w:kern w:val="2"/>
      <w:sz w:val="24"/>
      <w:szCs w:val="24"/>
      <w:lang w:val="ru-RU" w:eastAsia="zh-CN" w:bidi="hi-IN"/>
    </w:rPr>
  </w:style>
  <w:style w:type="paragraph" w:styleId="ConsPlusNonformat" w:customStyle="1">
    <w:name w:val="ConsPlusNonformat"/>
    <w:qFormat/>
    <w:pPr>
      <w:widowControl w:val="false"/>
      <w:bidi w:val="0"/>
      <w:spacing w:lineRule="auto" w:line="240" w:before="0" w:after="0"/>
      <w:jc w:val="left"/>
    </w:pPr>
    <w:rPr>
      <w:rFonts w:ascii="Courier New" w:hAnsi="Courier New" w:eastAsia="NSimSun" w:cs="Courier New"/>
      <w:color w:val="auto"/>
      <w:kern w:val="2"/>
      <w:sz w:val="20"/>
      <w:szCs w:val="24"/>
      <w:lang w:val="ru-RU" w:eastAsia="zh-CN" w:bidi="hi-IN"/>
    </w:rPr>
  </w:style>
  <w:style w:type="paragraph" w:styleId="ConsPlusTitle" w:customStyle="1">
    <w:name w:val="ConsPlusTitle"/>
    <w:qFormat/>
    <w:pPr>
      <w:widowControl w:val="false"/>
      <w:bidi w:val="0"/>
      <w:spacing w:lineRule="auto" w:line="240" w:before="0" w:after="0"/>
      <w:jc w:val="left"/>
    </w:pPr>
    <w:rPr>
      <w:rFonts w:ascii="Arial" w:hAnsi="Arial" w:eastAsia="NSimSun" w:cs="Arial"/>
      <w:b/>
      <w:color w:val="auto"/>
      <w:kern w:val="2"/>
      <w:sz w:val="24"/>
      <w:szCs w:val="24"/>
      <w:lang w:val="ru-RU" w:eastAsia="zh-CN" w:bidi="hi-IN"/>
    </w:rPr>
  </w:style>
  <w:style w:type="paragraph" w:styleId="ConsPlusCell" w:customStyle="1">
    <w:name w:val="ConsPlusCell"/>
    <w:qFormat/>
    <w:pPr>
      <w:widowControl w:val="false"/>
      <w:bidi w:val="0"/>
      <w:spacing w:lineRule="auto" w:line="240" w:before="0" w:after="0"/>
      <w:jc w:val="left"/>
    </w:pPr>
    <w:rPr>
      <w:rFonts w:ascii="Courier New" w:hAnsi="Courier New" w:eastAsia="NSimSun" w:cs="Courier New"/>
      <w:color w:val="auto"/>
      <w:kern w:val="2"/>
      <w:sz w:val="20"/>
      <w:szCs w:val="24"/>
      <w:lang w:val="ru-RU" w:eastAsia="zh-CN" w:bidi="hi-IN"/>
    </w:rPr>
  </w:style>
  <w:style w:type="paragraph" w:styleId="ConsPlusDocList" w:customStyle="1">
    <w:name w:val="ConsPlusDocList"/>
    <w:qFormat/>
    <w:pPr>
      <w:widowControl w:val="false"/>
      <w:bidi w:val="0"/>
      <w:spacing w:lineRule="auto" w:line="240" w:before="0" w:after="0"/>
      <w:jc w:val="left"/>
    </w:pPr>
    <w:rPr>
      <w:rFonts w:ascii="Tahoma" w:hAnsi="Tahoma" w:eastAsia="NSimSun" w:cs="Tahoma"/>
      <w:color w:val="auto"/>
      <w:kern w:val="2"/>
      <w:sz w:val="18"/>
      <w:szCs w:val="24"/>
      <w:lang w:val="ru-RU" w:eastAsia="zh-CN" w:bidi="hi-IN"/>
    </w:rPr>
  </w:style>
  <w:style w:type="paragraph" w:styleId="ConsPlusTitlePage" w:customStyle="1">
    <w:name w:val="ConsPlusTitlePage"/>
    <w:qFormat/>
    <w:pPr>
      <w:widowControl w:val="false"/>
      <w:bidi w:val="0"/>
      <w:spacing w:lineRule="auto" w:line="240" w:before="0" w:after="0"/>
      <w:jc w:val="left"/>
    </w:pPr>
    <w:rPr>
      <w:rFonts w:ascii="Tahoma" w:hAnsi="Tahoma" w:eastAsia="NSimSun" w:cs="Tahoma"/>
      <w:color w:val="auto"/>
      <w:kern w:val="2"/>
      <w:sz w:val="20"/>
      <w:szCs w:val="24"/>
      <w:lang w:val="ru-RU" w:eastAsia="zh-CN" w:bidi="hi-IN"/>
    </w:rPr>
  </w:style>
  <w:style w:type="paragraph" w:styleId="ConsPlusJurTerm" w:customStyle="1">
    <w:name w:val="ConsPlusJurTerm"/>
    <w:qFormat/>
    <w:pPr>
      <w:widowControl w:val="false"/>
      <w:bidi w:val="0"/>
      <w:spacing w:lineRule="auto" w:line="240" w:before="0" w:after="0"/>
      <w:jc w:val="left"/>
    </w:pPr>
    <w:rPr>
      <w:rFonts w:ascii="Tahoma" w:hAnsi="Tahoma" w:eastAsia="NSimSun" w:cs="Tahoma"/>
      <w:color w:val="auto"/>
      <w:kern w:val="2"/>
      <w:sz w:val="26"/>
      <w:szCs w:val="24"/>
      <w:lang w:val="ru-RU" w:eastAsia="zh-CN" w:bidi="hi-IN"/>
    </w:rPr>
  </w:style>
  <w:style w:type="paragraph" w:styleId="ConsPlusTextList" w:customStyle="1">
    <w:name w:val="ConsPlusTextList"/>
    <w:qFormat/>
    <w:pPr>
      <w:widowControl w:val="false"/>
      <w:bidi w:val="0"/>
      <w:spacing w:lineRule="auto" w:line="240" w:before="0" w:after="0"/>
      <w:jc w:val="left"/>
    </w:pPr>
    <w:rPr>
      <w:rFonts w:ascii="Times New Roman" w:hAnsi="Times New Roman" w:eastAsia="NSimSun" w:cs="Times New Roman"/>
      <w:color w:val="auto"/>
      <w:kern w:val="2"/>
      <w:sz w:val="24"/>
      <w:szCs w:val="24"/>
      <w:lang w:val="ru-RU" w:eastAsia="zh-CN" w:bidi="hi-IN"/>
    </w:rPr>
  </w:style>
  <w:style w:type="paragraph" w:styleId="Style20">
    <w:name w:val="Верхний и нижний колонтитулы"/>
    <w:basedOn w:val="Normal"/>
    <w:qFormat/>
    <w:pPr/>
    <w:rPr/>
  </w:style>
  <w:style w:type="paragraph" w:styleId="Style21">
    <w:name w:val="Header"/>
    <w:basedOn w:val="Style20"/>
    <w:pPr/>
    <w:rPr/>
  </w:style>
  <w:style w:type="paragraph" w:styleId="Style22">
    <w:name w:val="Footer"/>
    <w:basedOn w:val="Style20"/>
    <w:pPr/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header" Target="header2.xml"/><Relationship Id="rId4" Type="http://schemas.openxmlformats.org/officeDocument/2006/relationships/footer" Target="footer1.xml"/><Relationship Id="rId5" Type="http://schemas.openxmlformats.org/officeDocument/2006/relationships/footer" Target="footer2.xml"/><Relationship Id="rId6" Type="http://schemas.openxmlformats.org/officeDocument/2006/relationships/fontTable" Target="fontTable.xml"/><Relationship Id="rId7" Type="http://schemas.openxmlformats.org/officeDocument/2006/relationships/settings" Target="settings.xml"/>
</Relationships>
</file>

<file path=word/_rels/footer1.xml.rels><?xml version="1.0" encoding="UTF-8"?>
<Relationships xmlns="http://schemas.openxmlformats.org/package/2006/relationships"><Relationship Id="rId1" Type="http://schemas.openxmlformats.org/officeDocument/2006/relationships/hyperlink" Target="https://www.consultant.ru/" TargetMode="Externa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16</TotalTime>
  <Application>LibreOffice/6.4.0.3$Windows_X86_64 LibreOffice_project/b0a288ab3d2d4774cb44b62f04d5d28733ac6df8</Application>
  <Pages>1</Pages>
  <Words>366</Words>
  <Characters>2521</Characters>
  <CharactersWithSpaces>2871</CharactersWithSpaces>
  <Paragraphs>23</Paragraphs>
  <Company>КонсультантПлюс Версия 4024.00.50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2025-12-10T11:25:28Z</dcterms:created>
  <dc:creator/>
  <dc:description/>
  <dc:language>ru-RU</dc:language>
  <cp:lastModifiedBy/>
  <cp:lastPrinted>2025-12-12T11:45:34Z</cp:lastPrinted>
  <dcterms:modified xsi:type="dcterms:W3CDTF">2025-12-12T11:48:16Z</dcterms:modified>
  <cp:revision>5</cp:revision>
  <dc:subject/>
  <dc:title>Решение Собрания депутатов Плюсского муниципального округа от 18.11.2025 N 56
"Об установлении льготы по налогу на имущество физических лиц участникам специальной военной операции и членам их семей"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mpany">
    <vt:lpwstr>КонсультантПлюс Версия 4024.00.50</vt:lpwstr>
  </property>
</Properties>
</file>