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C60EFB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14:paraId="287F761E">
      <w:pPr>
        <w:ind w:firstLine="1080"/>
        <w:jc w:val="center"/>
        <w:rPr>
          <w:rFonts w:cs="Arial"/>
          <w:sz w:val="28"/>
          <w:szCs w:val="28"/>
        </w:rPr>
      </w:pPr>
      <w:r>
        <w:rPr>
          <w:rFonts w:cs="Arial"/>
          <w:sz w:val="32"/>
          <w:szCs w:val="32"/>
        </w:rPr>
        <w:t>Кишалинского</w:t>
      </w:r>
      <w:r>
        <w:rPr>
          <w:rFonts w:cs="Arial"/>
          <w:bCs/>
          <w:sz w:val="32"/>
          <w:szCs w:val="32"/>
        </w:rPr>
        <w:t xml:space="preserve"> сельского поселения</w:t>
      </w:r>
    </w:p>
    <w:p w14:paraId="566D2970">
      <w:pPr>
        <w:rPr>
          <w:sz w:val="23"/>
          <w:szCs w:val="23"/>
        </w:rPr>
      </w:pPr>
    </w:p>
    <w:p w14:paraId="6D515A98">
      <w:pPr>
        <w:rPr>
          <w:sz w:val="23"/>
          <w:szCs w:val="23"/>
        </w:rPr>
      </w:pPr>
    </w:p>
    <w:p w14:paraId="7B4928E3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14:paraId="1E0FA9F5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14:paraId="02DDDD38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14:paraId="31627DFF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14:paraId="68D53464">
      <w:pPr>
        <w:rPr>
          <w:sz w:val="23"/>
          <w:szCs w:val="23"/>
        </w:rPr>
      </w:pPr>
    </w:p>
    <w:p w14:paraId="0C716F5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</w:t>
      </w:r>
      <w:r>
        <w:rPr>
          <w:rFonts w:hint="default"/>
          <w:b/>
          <w:sz w:val="28"/>
          <w:szCs w:val="28"/>
          <w:lang w:val="ru-RU"/>
        </w:rPr>
        <w:t>65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</w:t>
      </w:r>
      <w:r>
        <w:rPr>
          <w:rFonts w:hint="default"/>
          <w:b/>
          <w:sz w:val="28"/>
          <w:szCs w:val="28"/>
          <w:lang w:val="ru-RU"/>
        </w:rPr>
        <w:t xml:space="preserve">04 декабря </w:t>
      </w:r>
      <w:r>
        <w:rPr>
          <w:b/>
          <w:sz w:val="28"/>
          <w:szCs w:val="28"/>
        </w:rPr>
        <w:t>2025 года</w:t>
      </w:r>
    </w:p>
    <w:p w14:paraId="2BA84D55">
      <w:pPr>
        <w:pBdr>
          <w:bottom w:val="single" w:color="000000" w:sz="8" w:space="0"/>
        </w:pBdr>
        <w:tabs>
          <w:tab w:val="left" w:pos="0"/>
        </w:tabs>
        <w:rPr>
          <w:b/>
          <w:bCs/>
          <w:u w:val="single"/>
        </w:rPr>
      </w:pPr>
    </w:p>
    <w:p w14:paraId="723B64F4">
      <w:pPr>
        <w:pStyle w:val="104"/>
        <w:widowControl/>
        <w:jc w:val="center"/>
        <w:rPr>
          <w:rStyle w:val="105"/>
          <w:sz w:val="28"/>
          <w:szCs w:val="28"/>
        </w:rPr>
      </w:pPr>
      <w:r>
        <w:rPr>
          <w:rStyle w:val="105"/>
          <w:sz w:val="28"/>
          <w:szCs w:val="28"/>
        </w:rPr>
        <w:t>СОВЕТ ДЕПУТАТОВ</w:t>
      </w:r>
      <w:r>
        <w:rPr>
          <w:rStyle w:val="105"/>
          <w:rFonts w:hint="default"/>
          <w:sz w:val="28"/>
          <w:szCs w:val="28"/>
          <w:lang w:val="ru-RU"/>
        </w:rPr>
        <w:t xml:space="preserve">                                                                                    </w:t>
      </w:r>
      <w:r>
        <w:rPr>
          <w:rStyle w:val="105"/>
          <w:sz w:val="28"/>
          <w:szCs w:val="28"/>
        </w:rPr>
        <w:t xml:space="preserve"> КИШАЛИНСКОГО СЕЛЬСКОГО ПОСЕЛЕНИЯ АТЮРЬЕВСКОГО МУНИЦИПАЛЬНОГО РАЙОНА РЕСПУБЛИКИ МОРДОВИЯ</w:t>
      </w:r>
    </w:p>
    <w:p w14:paraId="0E99BCAB">
      <w:pPr>
        <w:pStyle w:val="104"/>
        <w:widowControl/>
        <w:rPr>
          <w:b/>
          <w:bCs/>
          <w:sz w:val="28"/>
          <w:szCs w:val="28"/>
        </w:rPr>
      </w:pPr>
      <w:r>
        <w:rPr>
          <w:rStyle w:val="105"/>
          <w:sz w:val="28"/>
          <w:szCs w:val="28"/>
        </w:rPr>
        <w:t xml:space="preserve">                              </w:t>
      </w:r>
    </w:p>
    <w:p w14:paraId="788BC838">
      <w:pPr>
        <w:pStyle w:val="80"/>
        <w:jc w:val="center"/>
        <w:rPr>
          <w:rFonts w:hint="default"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РЕШЕНИЕ</w:t>
      </w:r>
    </w:p>
    <w:p w14:paraId="4A16FCEC">
      <w:pPr>
        <w:pStyle w:val="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№  </w:t>
      </w:r>
      <w:r>
        <w:rPr>
          <w:rFonts w:hint="default" w:ascii="Times New Roman" w:hAnsi="Times New Roman"/>
          <w:sz w:val="28"/>
          <w:szCs w:val="28"/>
          <w:lang w:val="ru-RU"/>
        </w:rPr>
        <w:t>21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от «</w:t>
      </w:r>
      <w:r>
        <w:rPr>
          <w:rFonts w:hint="default" w:ascii="Times New Roman" w:hAnsi="Times New Roman"/>
          <w:sz w:val="28"/>
          <w:szCs w:val="28"/>
          <w:u w:val="single"/>
          <w:lang w:val="ru-RU"/>
        </w:rPr>
        <w:t>04</w:t>
      </w:r>
      <w:r>
        <w:rPr>
          <w:rFonts w:ascii="Times New Roman" w:hAnsi="Times New Roman"/>
          <w:sz w:val="28"/>
          <w:szCs w:val="28"/>
          <w:u w:val="single"/>
        </w:rPr>
        <w:t>»</w:t>
      </w:r>
      <w:r>
        <w:rPr>
          <w:rFonts w:hint="default" w:ascii="Times New Roman" w:hAnsi="Times New Roman"/>
          <w:sz w:val="28"/>
          <w:szCs w:val="28"/>
          <w:u w:val="single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декабря  2025 года</w:t>
      </w:r>
    </w:p>
    <w:p w14:paraId="05F3ABD3">
      <w:pPr>
        <w:pStyle w:val="80"/>
        <w:jc w:val="both"/>
        <w:rPr>
          <w:rFonts w:ascii="Times New Roman" w:hAnsi="Times New Roman"/>
          <w:sz w:val="24"/>
          <w:szCs w:val="24"/>
        </w:rPr>
      </w:pPr>
    </w:p>
    <w:p w14:paraId="208DFFA7">
      <w:pPr>
        <w:pStyle w:val="8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</w:p>
    <w:p w14:paraId="300B3AB6">
      <w:pPr>
        <w:pStyle w:val="8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«О </w:t>
      </w:r>
      <w:r>
        <w:rPr>
          <w:rFonts w:ascii="Times New Roman" w:hAnsi="Times New Roman"/>
          <w:b/>
          <w:sz w:val="32"/>
          <w:szCs w:val="32"/>
          <w:lang w:val="ru-RU"/>
        </w:rPr>
        <w:t>ВНЕСЕНИИ</w:t>
      </w:r>
      <w:r>
        <w:rPr>
          <w:rFonts w:hint="default" w:ascii="Times New Roman" w:hAnsi="Times New Roman"/>
          <w:b/>
          <w:sz w:val="32"/>
          <w:szCs w:val="32"/>
          <w:lang w:val="ru-RU"/>
        </w:rPr>
        <w:t xml:space="preserve"> ИЗМЕНЕНИЙ В ПЗЗ КИШАЛИНСКОГО СЕЛЬСКОГО ПОСЕЛЕНИЯ АТЮРЬЕВСКОГО МУНИЦИПАЛЬНОГО РАЙОНА РМ, УТВЕРЖДЕННЫХ РЕШЕНИЕМ СОВЕТА ДЕПУТАТОВ №61 ОТ 30.12.2019 г.</w:t>
      </w:r>
    </w:p>
    <w:p w14:paraId="1364E38C">
      <w:pPr>
        <w:pStyle w:val="2"/>
        <w:spacing w:before="0" w:after="0"/>
        <w:jc w:val="both"/>
        <w:rPr>
          <w:sz w:val="28"/>
          <w:szCs w:val="28"/>
        </w:rPr>
      </w:pPr>
    </w:p>
    <w:p w14:paraId="704A97A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В соответствии со ст.8 Градостроительного кодекса Российской Федерации от 29 декабря 2004 г. № 190-ФЗ, руководствуясь Уставом Атюрьевского сельского поселения Атюрьевского муниципального района Республики Мордовия, совет депутатов Кишалинского сельского поселения Атюрьевского муниципального района</w:t>
      </w:r>
    </w:p>
    <w:p w14:paraId="4E95B52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РЕШИЛ:</w:t>
      </w:r>
    </w:p>
    <w:p w14:paraId="76EADA9F">
      <w:pPr>
        <w:spacing w:before="100" w:beforeAutospacing="1" w:after="100" w:afterAutospacing="1" w:line="240" w:lineRule="auto"/>
        <w:ind w:firstLine="709"/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Внести  в  Статью 2. </w:t>
      </w:r>
      <w:r>
        <w:rPr>
          <w:rFonts w:ascii="Times New Roman" w:hAnsi="Times New Roman"/>
          <w:b/>
          <w:bCs/>
          <w:sz w:val="28"/>
          <w:szCs w:val="28"/>
        </w:rPr>
        <w:t>Виды территориальных зон, обозначенных на Карте градостроительного зонирования территории Кишалинского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 </w:t>
      </w:r>
      <w:r>
        <w:rPr>
          <w:rFonts w:ascii="Times New Roman" w:hAnsi="Times New Roman"/>
          <w:b/>
          <w:bCs/>
          <w:sz w:val="28"/>
          <w:szCs w:val="28"/>
        </w:rPr>
        <w:t>сельского поселения</w:t>
      </w:r>
    </w:p>
    <w:p w14:paraId="4D29D3BB">
      <w:pPr>
        <w:pStyle w:val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следующего содержания:</w:t>
      </w:r>
    </w:p>
    <w:p w14:paraId="799C59FD">
      <w:pPr>
        <w:pStyle w:val="80"/>
        <w:rPr>
          <w:rStyle w:val="106"/>
          <w:rFonts w:ascii="Times New Roman" w:hAnsi="Times New Roman"/>
          <w:spacing w:val="0"/>
          <w:sz w:val="28"/>
          <w:szCs w:val="28"/>
          <w:shd w:val="clear" w:color="auto" w:fill="auto"/>
        </w:rPr>
      </w:pPr>
    </w:p>
    <w:p w14:paraId="4667899D">
      <w:pPr>
        <w:pStyle w:val="8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Общественно-деловые зоны</w:t>
      </w:r>
      <w:r>
        <w:rPr>
          <w:rFonts w:hint="default" w:ascii="Times New Roman" w:hAnsi="Times New Roman"/>
          <w:b/>
          <w:caps/>
          <w:sz w:val="24"/>
          <w:szCs w:val="24"/>
          <w:lang w:val="ru-RU"/>
        </w:rPr>
        <w:t>:</w:t>
      </w:r>
      <w:r>
        <w:rPr>
          <w:rFonts w:ascii="Times New Roman" w:hAnsi="Times New Roman"/>
          <w:b/>
          <w:caps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ЗОНА ДЕЛОВОГО, ОБЩЕСТВЕННОГО И КОММЕРЧЕСКОГО НАЗНАЧЕНИЯ</w:t>
      </w:r>
    </w:p>
    <w:p w14:paraId="701125FD">
      <w:pPr>
        <w:pStyle w:val="80"/>
        <w:jc w:val="center"/>
        <w:rPr>
          <w:rStyle w:val="108"/>
          <w:rFonts w:ascii="Times New Roman" w:hAnsi="Times New Roman"/>
          <w:b/>
          <w:spacing w:val="0"/>
          <w:sz w:val="24"/>
          <w:szCs w:val="24"/>
        </w:rPr>
      </w:pPr>
      <w:r>
        <w:rPr>
          <w:rStyle w:val="108"/>
          <w:rFonts w:ascii="Times New Roman" w:hAnsi="Times New Roman"/>
          <w:b/>
          <w:color w:val="000000"/>
          <w:sz w:val="24"/>
          <w:szCs w:val="24"/>
        </w:rPr>
        <w:t>Основные виды разрешенного использования</w:t>
      </w:r>
    </w:p>
    <w:p w14:paraId="49E1F258">
      <w:pPr>
        <w:pStyle w:val="109"/>
        <w:shd w:val="clear" w:color="auto" w:fill="auto"/>
        <w:spacing w:line="210" w:lineRule="exact"/>
        <w:rPr>
          <w:b/>
          <w:sz w:val="20"/>
          <w:szCs w:val="20"/>
        </w:rPr>
      </w:pPr>
    </w:p>
    <w:tbl>
      <w:tblPr>
        <w:tblStyle w:val="15"/>
        <w:tblW w:w="510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639"/>
        <w:gridCol w:w="1944"/>
        <w:gridCol w:w="847"/>
        <w:gridCol w:w="889"/>
        <w:gridCol w:w="922"/>
        <w:gridCol w:w="1289"/>
        <w:gridCol w:w="1002"/>
        <w:gridCol w:w="1337"/>
      </w:tblGrid>
      <w:tr w14:paraId="315B91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49" w:hRule="atLeast"/>
          <w:jc w:val="center"/>
        </w:trPr>
        <w:tc>
          <w:tcPr>
            <w:tcW w:w="266" w:type="pct"/>
            <w:vMerge w:val="restart"/>
            <w:shd w:val="clear" w:color="auto" w:fill="FFFFFF"/>
            <w:noWrap w:val="0"/>
            <w:vAlign w:val="top"/>
          </w:tcPr>
          <w:p w14:paraId="586362B0">
            <w:pPr>
              <w:pStyle w:val="6"/>
              <w:spacing w:after="60" w:line="210" w:lineRule="exact"/>
              <w:ind w:left="240"/>
              <w:rPr>
                <w:sz w:val="20"/>
                <w:szCs w:val="20"/>
              </w:rPr>
            </w:pPr>
            <w:r>
              <w:rPr>
                <w:rStyle w:val="110"/>
                <w:color w:val="000000"/>
                <w:sz w:val="20"/>
                <w:szCs w:val="20"/>
              </w:rPr>
              <w:t>№</w:t>
            </w:r>
          </w:p>
          <w:p w14:paraId="666D7C7E">
            <w:pPr>
              <w:pStyle w:val="6"/>
              <w:spacing w:before="60" w:after="0" w:line="210" w:lineRule="exact"/>
              <w:ind w:left="240"/>
              <w:rPr>
                <w:sz w:val="20"/>
                <w:szCs w:val="20"/>
              </w:rPr>
            </w:pPr>
            <w:r>
              <w:rPr>
                <w:rStyle w:val="110"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192" w:type="pct"/>
            <w:vMerge w:val="restart"/>
            <w:shd w:val="clear" w:color="auto" w:fill="FFFFFF"/>
            <w:noWrap w:val="0"/>
            <w:vAlign w:val="top"/>
          </w:tcPr>
          <w:p w14:paraId="000659F1">
            <w:pPr>
              <w:pStyle w:val="6"/>
              <w:spacing w:after="0" w:line="210" w:lineRule="exact"/>
              <w:jc w:val="center"/>
              <w:rPr>
                <w:sz w:val="20"/>
                <w:szCs w:val="20"/>
              </w:rPr>
            </w:pPr>
            <w:r>
              <w:rPr>
                <w:rStyle w:val="110"/>
                <w:color w:val="000000"/>
                <w:sz w:val="20"/>
                <w:szCs w:val="20"/>
              </w:rPr>
              <w:t>Наименование ВРИ</w:t>
            </w:r>
          </w:p>
        </w:tc>
        <w:tc>
          <w:tcPr>
            <w:tcW w:w="529" w:type="pct"/>
            <w:vMerge w:val="restart"/>
            <w:shd w:val="clear" w:color="auto" w:fill="FFFFFF"/>
            <w:noWrap w:val="0"/>
            <w:vAlign w:val="top"/>
          </w:tcPr>
          <w:p w14:paraId="346ABBED">
            <w:pPr>
              <w:pStyle w:val="6"/>
              <w:spacing w:after="0" w:line="269" w:lineRule="exac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Предельное количество этажей / </w:t>
            </w:r>
            <w:r>
              <w:rPr>
                <w:color w:val="000000"/>
                <w:sz w:val="20"/>
                <w:szCs w:val="20"/>
                <w:lang w:val="ru-RU"/>
              </w:rPr>
              <w:t>п</w:t>
            </w:r>
            <w:r>
              <w:rPr>
                <w:color w:val="000000"/>
                <w:sz w:val="20"/>
                <w:szCs w:val="20"/>
              </w:rPr>
              <w:t>редельная высот</w:t>
            </w:r>
            <w:r>
              <w:rPr>
                <w:color w:val="000000"/>
                <w:sz w:val="20"/>
                <w:szCs w:val="20"/>
                <w:lang w:val="ru-RU"/>
              </w:rPr>
              <w:t>а</w:t>
            </w:r>
            <w:r>
              <w:rPr>
                <w:color w:val="000000"/>
                <w:sz w:val="20"/>
                <w:szCs w:val="20"/>
              </w:rPr>
              <w:t xml:space="preserve"> зданий, строений, сооружений (м)</w:t>
            </w:r>
          </w:p>
          <w:p w14:paraId="61CFB9A9">
            <w:pPr>
              <w:pStyle w:val="6"/>
              <w:spacing w:after="0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594" w:type="pct"/>
            <w:gridSpan w:val="3"/>
            <w:shd w:val="clear" w:color="auto" w:fill="FFFFFF"/>
            <w:noWrap w:val="0"/>
            <w:vAlign w:val="top"/>
          </w:tcPr>
          <w:p w14:paraId="6351BC6A">
            <w:pPr>
              <w:pStyle w:val="6"/>
              <w:spacing w:after="0"/>
              <w:jc w:val="both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Предельные (минимальные и (или) максимальные) размеры земельных участков,</w:t>
            </w:r>
          </w:p>
        </w:tc>
        <w:tc>
          <w:tcPr>
            <w:tcW w:w="669" w:type="pct"/>
            <w:vMerge w:val="restart"/>
            <w:shd w:val="clear" w:color="auto" w:fill="FFFFFF"/>
            <w:noWrap w:val="0"/>
            <w:vAlign w:val="top"/>
          </w:tcPr>
          <w:p w14:paraId="5B6E45CB">
            <w:pPr>
              <w:pStyle w:val="6"/>
              <w:spacing w:after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М</w:t>
            </w:r>
            <w:r>
              <w:rPr>
                <w:color w:val="000000"/>
                <w:sz w:val="20"/>
                <w:szCs w:val="20"/>
              </w:rPr>
              <w:t>аксимальный процент застройки в границах земельного участка</w:t>
            </w:r>
          </w:p>
        </w:tc>
        <w:tc>
          <w:tcPr>
            <w:tcW w:w="751" w:type="pct"/>
            <w:vMerge w:val="restart"/>
            <w:shd w:val="clear" w:color="auto" w:fill="FFFFFF"/>
            <w:noWrap w:val="0"/>
            <w:vAlign w:val="top"/>
          </w:tcPr>
          <w:p w14:paraId="78909BCF">
            <w:pPr>
              <w:pStyle w:val="6"/>
              <w:spacing w:after="0"/>
              <w:ind w:right="24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М</w:t>
            </w:r>
            <w:r>
              <w:rPr>
                <w:color w:val="000000"/>
                <w:sz w:val="20"/>
                <w:szCs w:val="20"/>
              </w:rPr>
              <w:t>инимальные отступы от границ земельных участков в целях определения мест допустимого размещения зданий, строений, сооружений, (м)</w:t>
            </w:r>
          </w:p>
        </w:tc>
      </w:tr>
      <w:tr w14:paraId="419357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exact"/>
          <w:jc w:val="center"/>
        </w:trPr>
        <w:tc>
          <w:tcPr>
            <w:tcW w:w="266" w:type="pct"/>
            <w:vMerge w:val="continue"/>
            <w:shd w:val="clear" w:color="auto" w:fill="FFFFFF"/>
            <w:noWrap w:val="0"/>
            <w:vAlign w:val="top"/>
          </w:tcPr>
          <w:p w14:paraId="68B5D2F9">
            <w:pPr>
              <w:pStyle w:val="6"/>
              <w:spacing w:after="60" w:line="210" w:lineRule="exact"/>
              <w:ind w:left="240"/>
              <w:rPr>
                <w:rStyle w:val="110"/>
                <w:color w:val="000000"/>
                <w:sz w:val="20"/>
                <w:szCs w:val="20"/>
              </w:rPr>
            </w:pPr>
          </w:p>
        </w:tc>
        <w:tc>
          <w:tcPr>
            <w:tcW w:w="1192" w:type="pct"/>
            <w:vMerge w:val="continue"/>
            <w:shd w:val="clear" w:color="auto" w:fill="FFFFFF"/>
            <w:noWrap w:val="0"/>
            <w:vAlign w:val="top"/>
          </w:tcPr>
          <w:p w14:paraId="19346921">
            <w:pPr>
              <w:pStyle w:val="6"/>
              <w:spacing w:after="0" w:line="210" w:lineRule="exact"/>
              <w:jc w:val="center"/>
              <w:rPr>
                <w:rStyle w:val="110"/>
                <w:color w:val="000000"/>
                <w:sz w:val="20"/>
                <w:szCs w:val="20"/>
              </w:rPr>
            </w:pPr>
          </w:p>
        </w:tc>
        <w:tc>
          <w:tcPr>
            <w:tcW w:w="529" w:type="pct"/>
            <w:vMerge w:val="continue"/>
            <w:shd w:val="clear" w:color="auto" w:fill="FFFFFF"/>
            <w:noWrap w:val="0"/>
            <w:vAlign w:val="top"/>
          </w:tcPr>
          <w:p w14:paraId="141C1355">
            <w:pPr>
              <w:pStyle w:val="6"/>
              <w:spacing w:after="0" w:line="269" w:lineRule="exac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9" w:type="pct"/>
            <w:gridSpan w:val="2"/>
            <w:shd w:val="clear" w:color="auto" w:fill="FFFFFF"/>
            <w:noWrap w:val="0"/>
            <w:vAlign w:val="top"/>
          </w:tcPr>
          <w:p w14:paraId="2A858206">
            <w:pPr>
              <w:pStyle w:val="6"/>
              <w:spacing w:after="0" w:line="269" w:lineRule="exact"/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Площадь (кв. м.)</w:t>
            </w:r>
          </w:p>
        </w:tc>
        <w:tc>
          <w:tcPr>
            <w:tcW w:w="645" w:type="pct"/>
            <w:shd w:val="clear" w:color="auto" w:fill="FFFFFF"/>
            <w:noWrap w:val="0"/>
            <w:vAlign w:val="top"/>
          </w:tcPr>
          <w:p w14:paraId="1F022B6A">
            <w:pPr>
              <w:pStyle w:val="6"/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Размер</w:t>
            </w:r>
          </w:p>
          <w:p w14:paraId="2CEF5AB2">
            <w:pPr>
              <w:pStyle w:val="6"/>
              <w:spacing w:after="0"/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(м.)</w:t>
            </w:r>
          </w:p>
        </w:tc>
        <w:tc>
          <w:tcPr>
            <w:tcW w:w="669" w:type="pct"/>
            <w:vMerge w:val="continue"/>
            <w:shd w:val="clear" w:color="auto" w:fill="FFFFFF"/>
            <w:noWrap w:val="0"/>
            <w:vAlign w:val="top"/>
          </w:tcPr>
          <w:p w14:paraId="1AE0F655">
            <w:pPr>
              <w:pStyle w:val="6"/>
              <w:spacing w:after="0"/>
              <w:jc w:val="both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751" w:type="pct"/>
            <w:vMerge w:val="continue"/>
            <w:shd w:val="clear" w:color="auto" w:fill="FFFFFF"/>
            <w:noWrap w:val="0"/>
            <w:vAlign w:val="top"/>
          </w:tcPr>
          <w:p w14:paraId="55240226">
            <w:pPr>
              <w:pStyle w:val="6"/>
              <w:spacing w:after="0"/>
              <w:ind w:right="240"/>
              <w:jc w:val="right"/>
              <w:rPr>
                <w:color w:val="000000"/>
                <w:sz w:val="20"/>
                <w:szCs w:val="20"/>
                <w:lang w:val="ru-RU"/>
              </w:rPr>
            </w:pPr>
          </w:p>
        </w:tc>
      </w:tr>
      <w:tr w14:paraId="716CD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4" w:hRule="exact"/>
          <w:jc w:val="center"/>
        </w:trPr>
        <w:tc>
          <w:tcPr>
            <w:tcW w:w="266" w:type="pct"/>
            <w:vMerge w:val="continue"/>
            <w:shd w:val="clear" w:color="auto" w:fill="FFFFFF"/>
            <w:noWrap w:val="0"/>
            <w:vAlign w:val="top"/>
          </w:tcPr>
          <w:p w14:paraId="726F6D1A">
            <w:pPr>
              <w:pStyle w:val="6"/>
              <w:spacing w:after="0"/>
              <w:ind w:right="240"/>
              <w:jc w:val="right"/>
              <w:rPr>
                <w:sz w:val="20"/>
                <w:szCs w:val="20"/>
              </w:rPr>
            </w:pPr>
          </w:p>
        </w:tc>
        <w:tc>
          <w:tcPr>
            <w:tcW w:w="1192" w:type="pct"/>
            <w:vMerge w:val="continue"/>
            <w:shd w:val="clear" w:color="auto" w:fill="FFFFFF"/>
            <w:noWrap w:val="0"/>
            <w:vAlign w:val="top"/>
          </w:tcPr>
          <w:p w14:paraId="09FBEDC9">
            <w:pPr>
              <w:pStyle w:val="6"/>
              <w:spacing w:after="0"/>
              <w:ind w:right="240"/>
              <w:jc w:val="right"/>
              <w:rPr>
                <w:sz w:val="20"/>
                <w:szCs w:val="20"/>
              </w:rPr>
            </w:pPr>
          </w:p>
        </w:tc>
        <w:tc>
          <w:tcPr>
            <w:tcW w:w="529" w:type="pct"/>
            <w:vMerge w:val="continue"/>
            <w:shd w:val="clear" w:color="auto" w:fill="FFFFFF"/>
            <w:noWrap w:val="0"/>
            <w:vAlign w:val="top"/>
          </w:tcPr>
          <w:p w14:paraId="54C27280">
            <w:pPr>
              <w:pStyle w:val="6"/>
              <w:spacing w:after="0"/>
              <w:ind w:right="240"/>
              <w:jc w:val="right"/>
              <w:rPr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FFFFFF"/>
            <w:noWrap w:val="0"/>
            <w:vAlign w:val="top"/>
          </w:tcPr>
          <w:p w14:paraId="2AAF822F">
            <w:pPr>
              <w:pStyle w:val="6"/>
              <w:spacing w:after="0" w:line="210" w:lineRule="exact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min</w:t>
            </w:r>
          </w:p>
        </w:tc>
        <w:tc>
          <w:tcPr>
            <w:tcW w:w="478" w:type="pct"/>
            <w:shd w:val="clear" w:color="auto" w:fill="FFFFFF"/>
            <w:noWrap w:val="0"/>
            <w:vAlign w:val="top"/>
          </w:tcPr>
          <w:p w14:paraId="1F2D2AFF">
            <w:pPr>
              <w:pStyle w:val="6"/>
              <w:spacing w:after="0" w:line="210" w:lineRule="exact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max</w:t>
            </w:r>
          </w:p>
        </w:tc>
        <w:tc>
          <w:tcPr>
            <w:tcW w:w="645" w:type="pct"/>
            <w:shd w:val="clear" w:color="auto" w:fill="FFFFFF"/>
            <w:noWrap w:val="0"/>
            <w:vAlign w:val="top"/>
          </w:tcPr>
          <w:p w14:paraId="7474ECD1">
            <w:pPr>
              <w:pStyle w:val="6"/>
              <w:spacing w:after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min/max</w:t>
            </w:r>
          </w:p>
        </w:tc>
        <w:tc>
          <w:tcPr>
            <w:tcW w:w="669" w:type="pct"/>
            <w:vMerge w:val="continue"/>
            <w:shd w:val="clear" w:color="auto" w:fill="FFFFFF"/>
            <w:noWrap w:val="0"/>
            <w:vAlign w:val="top"/>
          </w:tcPr>
          <w:p w14:paraId="227045FD">
            <w:pPr>
              <w:pStyle w:val="6"/>
              <w:spacing w:after="0" w:line="21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751" w:type="pct"/>
            <w:vMerge w:val="continue"/>
            <w:shd w:val="clear" w:color="auto" w:fill="FFFFFF"/>
            <w:noWrap w:val="0"/>
            <w:vAlign w:val="top"/>
          </w:tcPr>
          <w:p w14:paraId="31F1D7F1">
            <w:pPr>
              <w:pStyle w:val="6"/>
              <w:spacing w:after="0" w:line="210" w:lineRule="exact"/>
              <w:jc w:val="center"/>
              <w:rPr>
                <w:sz w:val="20"/>
                <w:szCs w:val="20"/>
              </w:rPr>
            </w:pPr>
          </w:p>
        </w:tc>
      </w:tr>
      <w:tr w14:paraId="047E85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exact"/>
          <w:jc w:val="center"/>
        </w:trPr>
        <w:tc>
          <w:tcPr>
            <w:tcW w:w="266" w:type="pct"/>
            <w:shd w:val="clear" w:color="auto" w:fill="FFFFFF"/>
            <w:noWrap w:val="0"/>
            <w:vAlign w:val="top"/>
          </w:tcPr>
          <w:p w14:paraId="3907410A">
            <w:pPr>
              <w:pStyle w:val="6"/>
              <w:spacing w:after="0" w:line="210" w:lineRule="exact"/>
              <w:ind w:left="960"/>
              <w:rPr>
                <w:color w:val="000000"/>
                <w:spacing w:val="2"/>
                <w:sz w:val="20"/>
                <w:szCs w:val="20"/>
              </w:rPr>
            </w:pPr>
            <w:r>
              <w:rPr>
                <w:color w:val="000000"/>
                <w:spacing w:val="2"/>
                <w:sz w:val="20"/>
                <w:szCs w:val="20"/>
                <w:lang w:val="ru-RU"/>
              </w:rPr>
              <w:t>4</w:t>
            </w:r>
          </w:p>
        </w:tc>
        <w:tc>
          <w:tcPr>
            <w:tcW w:w="1192" w:type="pct"/>
            <w:shd w:val="clear" w:color="auto" w:fill="FFFFFF"/>
            <w:noWrap w:val="0"/>
            <w:vAlign w:val="top"/>
          </w:tcPr>
          <w:p w14:paraId="189C221F">
            <w:pPr>
              <w:pStyle w:val="6"/>
              <w:spacing w:after="0" w:line="210" w:lineRule="exact"/>
              <w:ind w:left="120"/>
              <w:rPr>
                <w:color w:val="000000"/>
                <w:spacing w:val="2"/>
                <w:sz w:val="20"/>
                <w:szCs w:val="20"/>
              </w:rPr>
            </w:pPr>
            <w:r>
              <w:rPr>
                <w:rStyle w:val="110"/>
                <w:color w:val="000000"/>
                <w:sz w:val="20"/>
                <w:szCs w:val="20"/>
              </w:rPr>
              <w:t>Амбулаторно-поликлиническое</w:t>
            </w:r>
          </w:p>
          <w:p w14:paraId="5761E9F4">
            <w:pPr>
              <w:pStyle w:val="6"/>
              <w:spacing w:after="0" w:line="210" w:lineRule="exact"/>
              <w:ind w:left="120"/>
              <w:rPr>
                <w:color w:val="000000"/>
                <w:spacing w:val="2"/>
                <w:sz w:val="20"/>
                <w:szCs w:val="20"/>
                <w:lang w:val="ru-RU"/>
              </w:rPr>
            </w:pPr>
            <w:r>
              <w:rPr>
                <w:rStyle w:val="110"/>
                <w:color w:val="000000"/>
                <w:sz w:val="20"/>
                <w:szCs w:val="20"/>
              </w:rPr>
              <w:t>Обслуживание</w:t>
            </w:r>
            <w:r>
              <w:rPr>
                <w:rStyle w:val="110"/>
                <w:color w:val="000000"/>
                <w:sz w:val="20"/>
                <w:szCs w:val="20"/>
                <w:lang w:val="ru-RU"/>
              </w:rPr>
              <w:t xml:space="preserve"> (</w:t>
            </w:r>
            <w:r>
              <w:rPr>
                <w:rStyle w:val="110"/>
                <w:color w:val="000000"/>
                <w:sz w:val="20"/>
                <w:szCs w:val="20"/>
              </w:rPr>
              <w:t>3.4.1</w:t>
            </w:r>
            <w:r>
              <w:rPr>
                <w:rStyle w:val="110"/>
                <w:color w:val="000000"/>
                <w:sz w:val="20"/>
                <w:szCs w:val="20"/>
                <w:lang w:val="ru-RU"/>
              </w:rPr>
              <w:t>)</w:t>
            </w:r>
          </w:p>
        </w:tc>
        <w:tc>
          <w:tcPr>
            <w:tcW w:w="529" w:type="pct"/>
            <w:shd w:val="clear" w:color="auto" w:fill="FFFFFF"/>
            <w:noWrap w:val="0"/>
            <w:vAlign w:val="top"/>
          </w:tcPr>
          <w:p w14:paraId="1EB67340">
            <w:pPr>
              <w:rPr>
                <w:sz w:val="20"/>
              </w:rPr>
            </w:pPr>
            <w:r>
              <w:rPr>
                <w:sz w:val="20"/>
              </w:rPr>
              <w:t>3/12</w:t>
            </w:r>
          </w:p>
        </w:tc>
        <w:tc>
          <w:tcPr>
            <w:tcW w:w="471" w:type="pct"/>
            <w:shd w:val="clear" w:color="auto" w:fill="FFFFFF"/>
            <w:noWrap w:val="0"/>
            <w:vAlign w:val="top"/>
          </w:tcPr>
          <w:p w14:paraId="6DDD35B5">
            <w:pPr>
              <w:pStyle w:val="6"/>
              <w:spacing w:after="0" w:line="210" w:lineRule="exact"/>
              <w:jc w:val="center"/>
              <w:rPr>
                <w:color w:val="000000"/>
                <w:spacing w:val="2"/>
                <w:sz w:val="20"/>
                <w:szCs w:val="20"/>
                <w:lang w:val="ru-RU"/>
              </w:rPr>
            </w:pPr>
            <w:r>
              <w:rPr>
                <w:rStyle w:val="110"/>
                <w:color w:val="000000"/>
                <w:sz w:val="20"/>
                <w:szCs w:val="20"/>
                <w:lang w:val="ru-RU"/>
              </w:rPr>
              <w:t>300</w:t>
            </w:r>
          </w:p>
        </w:tc>
        <w:tc>
          <w:tcPr>
            <w:tcW w:w="478" w:type="pct"/>
            <w:shd w:val="clear" w:color="auto" w:fill="FFFFFF"/>
            <w:noWrap w:val="0"/>
            <w:vAlign w:val="top"/>
          </w:tcPr>
          <w:p w14:paraId="6BAEE704">
            <w:pPr>
              <w:pStyle w:val="6"/>
              <w:spacing w:after="0" w:line="210" w:lineRule="exact"/>
              <w:jc w:val="center"/>
              <w:rPr>
                <w:color w:val="000000"/>
                <w:spacing w:val="2"/>
                <w:sz w:val="20"/>
                <w:szCs w:val="20"/>
              </w:rPr>
            </w:pPr>
            <w:r>
              <w:rPr>
                <w:rStyle w:val="110"/>
                <w:color w:val="000000"/>
                <w:sz w:val="20"/>
                <w:szCs w:val="20"/>
                <w:lang w:val="ru-RU"/>
              </w:rPr>
              <w:t>5</w:t>
            </w:r>
            <w:r>
              <w:rPr>
                <w:rStyle w:val="110"/>
                <w:color w:val="000000"/>
                <w:sz w:val="20"/>
                <w:szCs w:val="20"/>
              </w:rPr>
              <w:t>0 000</w:t>
            </w:r>
          </w:p>
        </w:tc>
        <w:tc>
          <w:tcPr>
            <w:tcW w:w="645" w:type="pct"/>
            <w:shd w:val="clear" w:color="auto" w:fill="FFFFFF"/>
            <w:noWrap w:val="0"/>
            <w:vAlign w:val="top"/>
          </w:tcPr>
          <w:p w14:paraId="63A9A5DF">
            <w:pPr>
              <w:pStyle w:val="6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подлежит установлению</w:t>
            </w:r>
          </w:p>
        </w:tc>
        <w:tc>
          <w:tcPr>
            <w:tcW w:w="669" w:type="pct"/>
            <w:shd w:val="clear" w:color="auto" w:fill="FFFFFF"/>
            <w:noWrap w:val="0"/>
            <w:vAlign w:val="top"/>
          </w:tcPr>
          <w:p w14:paraId="5D93D85E">
            <w:pPr>
              <w:pStyle w:val="6"/>
              <w:spacing w:after="0" w:line="210" w:lineRule="exact"/>
              <w:jc w:val="center"/>
              <w:rPr>
                <w:rStyle w:val="110"/>
                <w:color w:val="000000"/>
                <w:sz w:val="20"/>
                <w:szCs w:val="20"/>
              </w:rPr>
            </w:pPr>
            <w:r>
              <w:rPr>
                <w:rStyle w:val="110"/>
                <w:sz w:val="20"/>
                <w:szCs w:val="20"/>
              </w:rPr>
              <w:t>80 %</w:t>
            </w:r>
          </w:p>
        </w:tc>
        <w:tc>
          <w:tcPr>
            <w:tcW w:w="751" w:type="pct"/>
            <w:shd w:val="clear" w:color="auto" w:fill="FFFFFF"/>
            <w:noWrap w:val="0"/>
            <w:vAlign w:val="top"/>
          </w:tcPr>
          <w:p w14:paraId="783858A1">
            <w:pPr>
              <w:pStyle w:val="6"/>
              <w:spacing w:after="0" w:line="210" w:lineRule="exact"/>
              <w:jc w:val="center"/>
              <w:rPr>
                <w:color w:val="000000"/>
                <w:spacing w:val="2"/>
                <w:sz w:val="20"/>
                <w:szCs w:val="20"/>
              </w:rPr>
            </w:pPr>
            <w:r>
              <w:rPr>
                <w:rStyle w:val="110"/>
                <w:color w:val="000000"/>
                <w:sz w:val="20"/>
                <w:szCs w:val="20"/>
              </w:rPr>
              <w:t>3</w:t>
            </w:r>
          </w:p>
        </w:tc>
      </w:tr>
    </w:tbl>
    <w:p w14:paraId="016B83C2">
      <w:pPr>
        <w:pStyle w:val="107"/>
        <w:shd w:val="clear" w:color="auto" w:fill="auto"/>
        <w:spacing w:line="210" w:lineRule="exact"/>
        <w:ind w:left="20"/>
        <w:jc w:val="center"/>
        <w:rPr>
          <w:rFonts w:hint="default" w:ascii="Times New Roman" w:hAnsi="Times New Roman" w:cs="Times New Roman"/>
          <w:sz w:val="28"/>
          <w:szCs w:val="28"/>
        </w:rPr>
      </w:pPr>
    </w:p>
    <w:p w14:paraId="15DEDE69">
      <w:pPr>
        <w:pStyle w:val="107"/>
        <w:shd w:val="clear" w:color="auto" w:fill="auto"/>
        <w:spacing w:line="210" w:lineRule="exact"/>
        <w:ind w:left="20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448DA43A">
      <w:pPr>
        <w:pStyle w:val="107"/>
        <w:shd w:val="clear" w:color="auto" w:fill="auto"/>
        <w:spacing w:line="210" w:lineRule="exact"/>
        <w:ind w:left="20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4F9909E0">
      <w:pPr>
        <w:pStyle w:val="107"/>
        <w:shd w:val="clear" w:color="auto" w:fill="auto"/>
        <w:spacing w:line="210" w:lineRule="exact"/>
        <w:ind w:left="20"/>
        <w:jc w:val="left"/>
        <w:rPr>
          <w:rStyle w:val="87"/>
          <w:rFonts w:hint="default"/>
          <w:sz w:val="28"/>
          <w:szCs w:val="28"/>
          <w:lang w:val="ru-RU"/>
        </w:rPr>
      </w:pPr>
    </w:p>
    <w:p w14:paraId="21A19DDF">
      <w:pPr>
        <w:pStyle w:val="107"/>
        <w:shd w:val="clear" w:color="auto" w:fill="auto"/>
        <w:spacing w:line="210" w:lineRule="exact"/>
        <w:ind w:left="20"/>
        <w:jc w:val="left"/>
        <w:rPr>
          <w:rStyle w:val="87"/>
          <w:rFonts w:hint="default"/>
          <w:sz w:val="28"/>
          <w:szCs w:val="28"/>
          <w:lang w:val="ru-RU"/>
        </w:rPr>
      </w:pPr>
      <w:r>
        <w:rPr>
          <w:rStyle w:val="87"/>
          <w:rFonts w:hint="default"/>
          <w:sz w:val="28"/>
          <w:szCs w:val="28"/>
          <w:lang w:val="ru-RU"/>
        </w:rPr>
        <w:t>Председатель Совета депутатов                                                                        Кишалинского сельского поселения                                                 П.Н.Левин</w:t>
      </w:r>
    </w:p>
    <w:p w14:paraId="0134020A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</w:p>
    <w:p w14:paraId="36F4E9EF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</w:p>
    <w:p w14:paraId="0161FF72">
      <w:pPr>
        <w:shd w:val="clear" w:color="auto" w:fill="FFFFFF"/>
        <w:spacing w:before="75" w:after="175"/>
        <w:rPr>
          <w:color w:val="273350"/>
          <w:sz w:val="28"/>
          <w:szCs w:val="28"/>
        </w:rPr>
      </w:pPr>
      <w:r>
        <w:rPr>
          <w:sz w:val="22"/>
          <w:szCs w:val="22"/>
        </w:rPr>
        <w:t>Главный редактор:</w:t>
      </w:r>
    </w:p>
    <w:p w14:paraId="00326F34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Глава Кишалинского сельского поселения                                                                       П.Н.Левин </w:t>
      </w:r>
    </w:p>
    <w:p w14:paraId="2B49BBB5">
      <w:pPr>
        <w:jc w:val="left"/>
        <w:rPr>
          <w:sz w:val="28"/>
          <w:szCs w:val="28"/>
        </w:rPr>
      </w:pPr>
      <w:r>
        <w:rPr>
          <w:sz w:val="22"/>
          <w:szCs w:val="22"/>
        </w:rPr>
        <w:t>Тираж  10 экз</w:t>
      </w:r>
    </w:p>
    <w:p w14:paraId="51C70C89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</w:p>
    <w:sectPr>
      <w:headerReference r:id="rId3" w:type="default"/>
      <w:pgSz w:w="11906" w:h="16838"/>
      <w:pgMar w:top="1134" w:right="851" w:bottom="709" w:left="1701" w:header="709" w:footer="709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Mangal">
    <w:altName w:val="Segoe Print"/>
    <w:panose1 w:val="02040503050203030202"/>
    <w:charset w:val="00"/>
    <w:family w:val="roman"/>
    <w:pitch w:val="default"/>
    <w:sig w:usb0="00000000" w:usb1="00000000" w:usb2="00000000" w:usb3="00000000" w:csb0="000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13CBEB">
    <w:pPr>
      <w:pStyle w:val="20"/>
      <w:jc w:val="center"/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2</w:t>
    </w:r>
    <w:r>
      <w:rPr>
        <w:sz w:val="28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efaultTabStop w:val="708"/>
  <w:drawingGridHorizontalSpacing w:val="0"/>
  <w:drawingGridVerticalSpacing w:val="0"/>
  <w:displayHorizontalDrawingGridEvery w:val="1"/>
  <w:displayVerticalDrawingGridEvery w:val="1"/>
  <w:doNotUseMarginsForDrawingGridOrigin w:val="1"/>
  <w:drawingGridHorizontalOrigin w:val="0"/>
  <w:drawingGridVerticalOrigin w:val="0"/>
  <w:noPunctuationKerning w:val="1"/>
  <w:characterSpacingControl w:val="doNotCompress"/>
  <w:compat>
    <w:spaceForUL/>
    <w:balanceSingleByteDoubleByteWidth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134"/>
    <w:rsid w:val="00000B8F"/>
    <w:rsid w:val="000024F3"/>
    <w:rsid w:val="000179D9"/>
    <w:rsid w:val="0002137A"/>
    <w:rsid w:val="00046B97"/>
    <w:rsid w:val="00053134"/>
    <w:rsid w:val="00060C1A"/>
    <w:rsid w:val="000D11B3"/>
    <w:rsid w:val="000F132B"/>
    <w:rsid w:val="000F29EB"/>
    <w:rsid w:val="000F2A8D"/>
    <w:rsid w:val="001045BD"/>
    <w:rsid w:val="00147D65"/>
    <w:rsid w:val="00153389"/>
    <w:rsid w:val="00171A9F"/>
    <w:rsid w:val="001C0453"/>
    <w:rsid w:val="001C78BC"/>
    <w:rsid w:val="002325A9"/>
    <w:rsid w:val="00234AF6"/>
    <w:rsid w:val="00242FFD"/>
    <w:rsid w:val="00251929"/>
    <w:rsid w:val="00293340"/>
    <w:rsid w:val="002A68A6"/>
    <w:rsid w:val="002E6256"/>
    <w:rsid w:val="003022C6"/>
    <w:rsid w:val="00317AC5"/>
    <w:rsid w:val="003344C1"/>
    <w:rsid w:val="0037597C"/>
    <w:rsid w:val="003911ED"/>
    <w:rsid w:val="003925A1"/>
    <w:rsid w:val="003D043C"/>
    <w:rsid w:val="003E424D"/>
    <w:rsid w:val="004007DA"/>
    <w:rsid w:val="00405045"/>
    <w:rsid w:val="004469E2"/>
    <w:rsid w:val="00473984"/>
    <w:rsid w:val="004841DD"/>
    <w:rsid w:val="004C71CF"/>
    <w:rsid w:val="004E7F80"/>
    <w:rsid w:val="004F3419"/>
    <w:rsid w:val="004F686C"/>
    <w:rsid w:val="00517DBD"/>
    <w:rsid w:val="00525053"/>
    <w:rsid w:val="00531193"/>
    <w:rsid w:val="00537231"/>
    <w:rsid w:val="005440E6"/>
    <w:rsid w:val="00566D5E"/>
    <w:rsid w:val="00570434"/>
    <w:rsid w:val="00570CF0"/>
    <w:rsid w:val="0059149C"/>
    <w:rsid w:val="00596F97"/>
    <w:rsid w:val="005B3D1C"/>
    <w:rsid w:val="005C6976"/>
    <w:rsid w:val="005E47E3"/>
    <w:rsid w:val="005F14E9"/>
    <w:rsid w:val="0060607C"/>
    <w:rsid w:val="00620994"/>
    <w:rsid w:val="0067099D"/>
    <w:rsid w:val="006F1FA4"/>
    <w:rsid w:val="007422F8"/>
    <w:rsid w:val="00752090"/>
    <w:rsid w:val="00760246"/>
    <w:rsid w:val="007F0555"/>
    <w:rsid w:val="007F1B2C"/>
    <w:rsid w:val="007F5304"/>
    <w:rsid w:val="007F63CD"/>
    <w:rsid w:val="008136C4"/>
    <w:rsid w:val="00842BA3"/>
    <w:rsid w:val="00856972"/>
    <w:rsid w:val="00867E7F"/>
    <w:rsid w:val="0089467D"/>
    <w:rsid w:val="008B3A11"/>
    <w:rsid w:val="008C4F75"/>
    <w:rsid w:val="008C5842"/>
    <w:rsid w:val="008C707F"/>
    <w:rsid w:val="008E0E11"/>
    <w:rsid w:val="008E7A77"/>
    <w:rsid w:val="009064C8"/>
    <w:rsid w:val="009319AB"/>
    <w:rsid w:val="009364B2"/>
    <w:rsid w:val="009510E8"/>
    <w:rsid w:val="009530D4"/>
    <w:rsid w:val="00973C58"/>
    <w:rsid w:val="00975F76"/>
    <w:rsid w:val="00985AD8"/>
    <w:rsid w:val="00987BCD"/>
    <w:rsid w:val="009D285F"/>
    <w:rsid w:val="009D34DC"/>
    <w:rsid w:val="00A10B61"/>
    <w:rsid w:val="00A20A5A"/>
    <w:rsid w:val="00A56904"/>
    <w:rsid w:val="00A71ABC"/>
    <w:rsid w:val="00A94029"/>
    <w:rsid w:val="00AD5B0E"/>
    <w:rsid w:val="00B31891"/>
    <w:rsid w:val="00B32FA3"/>
    <w:rsid w:val="00B679E7"/>
    <w:rsid w:val="00B72B67"/>
    <w:rsid w:val="00BA1483"/>
    <w:rsid w:val="00BE77EE"/>
    <w:rsid w:val="00C04EDC"/>
    <w:rsid w:val="00C33FBE"/>
    <w:rsid w:val="00C61F72"/>
    <w:rsid w:val="00C65D9A"/>
    <w:rsid w:val="00CB20D0"/>
    <w:rsid w:val="00CF54F8"/>
    <w:rsid w:val="00D226F4"/>
    <w:rsid w:val="00D2726B"/>
    <w:rsid w:val="00D30A18"/>
    <w:rsid w:val="00D43B6D"/>
    <w:rsid w:val="00D85663"/>
    <w:rsid w:val="00D92AE8"/>
    <w:rsid w:val="00DA5380"/>
    <w:rsid w:val="00DB2247"/>
    <w:rsid w:val="00DB7280"/>
    <w:rsid w:val="00DC6D0F"/>
    <w:rsid w:val="00DD077E"/>
    <w:rsid w:val="00DD63FA"/>
    <w:rsid w:val="00DF36F7"/>
    <w:rsid w:val="00DF57A4"/>
    <w:rsid w:val="00E02580"/>
    <w:rsid w:val="00E068B5"/>
    <w:rsid w:val="00E5618C"/>
    <w:rsid w:val="00E5635A"/>
    <w:rsid w:val="00E673A3"/>
    <w:rsid w:val="00E7325E"/>
    <w:rsid w:val="00E932F2"/>
    <w:rsid w:val="00EB0B4E"/>
    <w:rsid w:val="00F00F82"/>
    <w:rsid w:val="00F03084"/>
    <w:rsid w:val="00F12DF5"/>
    <w:rsid w:val="00F26C09"/>
    <w:rsid w:val="00F42B84"/>
    <w:rsid w:val="00F45846"/>
    <w:rsid w:val="00F6198D"/>
    <w:rsid w:val="00F71167"/>
    <w:rsid w:val="00F742C6"/>
    <w:rsid w:val="00FA5E9F"/>
    <w:rsid w:val="00FE0394"/>
    <w:rsid w:val="00FF48DF"/>
    <w:rsid w:val="20980564"/>
    <w:rsid w:val="26B352BA"/>
    <w:rsid w:val="3439205E"/>
    <w:rsid w:val="385C162A"/>
    <w:rsid w:val="5EBB04FE"/>
    <w:rsid w:val="681F2177"/>
    <w:rsid w:val="75C20242"/>
    <w:rsid w:val="76844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iPriority="9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qFormat="1" w:unhideWhenUsed="0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ru-RU" w:eastAsia="ar-SA" w:bidi="ar-SA"/>
    </w:rPr>
  </w:style>
  <w:style w:type="paragraph" w:styleId="2">
    <w:name w:val="heading 1"/>
    <w:basedOn w:val="3"/>
    <w:next w:val="4"/>
    <w:link w:val="99"/>
    <w:qFormat/>
    <w:uiPriority w:val="0"/>
    <w:pPr>
      <w:keepNext/>
      <w:spacing w:before="240" w:after="60"/>
      <w:outlineLvl w:val="0"/>
    </w:pPr>
    <w:rPr>
      <w:rFonts w:ascii="Arial" w:hAnsi="Arial" w:cs="Arial"/>
      <w:kern w:val="1"/>
      <w:sz w:val="32"/>
      <w:szCs w:val="32"/>
    </w:rPr>
  </w:style>
  <w:style w:type="paragraph" w:styleId="5">
    <w:name w:val="heading 2"/>
    <w:basedOn w:val="1"/>
    <w:next w:val="6"/>
    <w:qFormat/>
    <w:uiPriority w:val="0"/>
    <w:pPr>
      <w:keepNext/>
      <w:keepLines/>
      <w:tabs>
        <w:tab w:val="left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7">
    <w:name w:val="heading 3"/>
    <w:basedOn w:val="1"/>
    <w:next w:val="8"/>
    <w:qFormat/>
    <w:uiPriority w:val="0"/>
    <w:pPr>
      <w:keepNext/>
      <w:keepLines/>
      <w:tabs>
        <w:tab w:val="left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8">
    <w:name w:val="heading 4"/>
    <w:basedOn w:val="1"/>
    <w:next w:val="6"/>
    <w:qFormat/>
    <w:uiPriority w:val="0"/>
    <w:pPr>
      <w:keepNext/>
      <w:keepLines/>
      <w:tabs>
        <w:tab w:val="left" w:pos="2836"/>
      </w:tabs>
      <w:spacing w:before="240"/>
      <w:ind w:left="2836" w:hanging="1134"/>
      <w:outlineLvl w:val="3"/>
    </w:pPr>
    <w:rPr>
      <w:b/>
      <w:szCs w:val="20"/>
    </w:rPr>
  </w:style>
  <w:style w:type="paragraph" w:styleId="9">
    <w:name w:val="heading 5"/>
    <w:basedOn w:val="1"/>
    <w:next w:val="1"/>
    <w:qFormat/>
    <w:uiPriority w:val="0"/>
    <w:pPr>
      <w:keepNext/>
      <w:tabs>
        <w:tab w:val="left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10">
    <w:name w:val="heading 6"/>
    <w:basedOn w:val="1"/>
    <w:next w:val="1"/>
    <w:qFormat/>
    <w:uiPriority w:val="0"/>
    <w:pPr>
      <w:spacing w:before="240" w:after="60"/>
      <w:outlineLvl w:val="5"/>
    </w:pPr>
    <w:rPr>
      <w:b/>
      <w:bCs/>
      <w:sz w:val="22"/>
      <w:szCs w:val="22"/>
    </w:rPr>
  </w:style>
  <w:style w:type="paragraph" w:styleId="11">
    <w:name w:val="heading 7"/>
    <w:basedOn w:val="1"/>
    <w:next w:val="1"/>
    <w:qFormat/>
    <w:uiPriority w:val="0"/>
    <w:pPr>
      <w:spacing w:before="240" w:after="60"/>
      <w:outlineLvl w:val="6"/>
    </w:pPr>
  </w:style>
  <w:style w:type="paragraph" w:styleId="12">
    <w:name w:val="heading 8"/>
    <w:basedOn w:val="1"/>
    <w:next w:val="1"/>
    <w:link w:val="100"/>
    <w:semiHidden/>
    <w:unhideWhenUsed/>
    <w:qFormat/>
    <w:uiPriority w:val="9"/>
    <w:pPr>
      <w:keepNext/>
      <w:keepLines/>
      <w:spacing w:before="200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3">
    <w:name w:val="heading 9"/>
    <w:basedOn w:val="1"/>
    <w:next w:val="1"/>
    <w:qFormat/>
    <w:uiPriority w:val="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link w:val="86"/>
    <w:qFormat/>
    <w:uiPriority w:val="1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hAnsi="Arial" w:eastAsia="Arial"/>
      <w:b/>
      <w:bCs/>
      <w:sz w:val="22"/>
      <w:szCs w:val="22"/>
      <w:lang w:eastAsia="en-US"/>
    </w:rPr>
  </w:style>
  <w:style w:type="paragraph" w:customStyle="1" w:styleId="4">
    <w:name w:val="Text body"/>
    <w:basedOn w:val="1"/>
    <w:qFormat/>
    <w:uiPriority w:val="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hAnsi="Times New Roman" w:eastAsia="SimSun" w:cs="Mangal"/>
      <w:kern w:val="3"/>
      <w:sz w:val="24"/>
      <w:szCs w:val="24"/>
      <w:lang w:eastAsia="zh-CN" w:bidi="hi-IN"/>
    </w:rPr>
  </w:style>
  <w:style w:type="paragraph" w:styleId="6">
    <w:name w:val="Body Text"/>
    <w:basedOn w:val="1"/>
    <w:semiHidden/>
    <w:qFormat/>
    <w:uiPriority w:val="0"/>
    <w:pPr>
      <w:spacing w:before="120"/>
      <w:ind w:firstLine="567"/>
      <w:jc w:val="both"/>
    </w:pPr>
    <w:rPr>
      <w:szCs w:val="20"/>
    </w:rPr>
  </w:style>
  <w:style w:type="character" w:styleId="16">
    <w:name w:val="Hyperlink"/>
    <w:semiHidden/>
    <w:qFormat/>
    <w:uiPriority w:val="99"/>
    <w:rPr>
      <w:color w:val="0000FF"/>
      <w:u w:val="single"/>
    </w:rPr>
  </w:style>
  <w:style w:type="character" w:styleId="17">
    <w:name w:val="page number"/>
    <w:basedOn w:val="18"/>
    <w:semiHidden/>
    <w:qFormat/>
    <w:uiPriority w:val="0"/>
  </w:style>
  <w:style w:type="character" w:customStyle="1" w:styleId="18">
    <w:name w:val="Основной шрифт абзаца1"/>
    <w:qFormat/>
    <w:uiPriority w:val="0"/>
  </w:style>
  <w:style w:type="paragraph" w:styleId="19">
    <w:name w:val="Balloon Text"/>
    <w:basedOn w:val="1"/>
    <w:link w:val="79"/>
    <w:semiHidden/>
    <w:unhideWhenUsed/>
    <w:qFormat/>
    <w:uiPriority w:val="99"/>
    <w:rPr>
      <w:rFonts w:ascii="Tahoma" w:hAnsi="Tahoma"/>
      <w:sz w:val="16"/>
      <w:szCs w:val="16"/>
    </w:rPr>
  </w:style>
  <w:style w:type="paragraph" w:styleId="20">
    <w:name w:val="header"/>
    <w:basedOn w:val="1"/>
    <w:link w:val="94"/>
    <w:qFormat/>
    <w:uiPriority w:val="99"/>
    <w:pPr>
      <w:tabs>
        <w:tab w:val="center" w:pos="4677"/>
        <w:tab w:val="right" w:pos="9355"/>
      </w:tabs>
    </w:pPr>
  </w:style>
  <w:style w:type="paragraph" w:styleId="21">
    <w:name w:val="Body Text Indent"/>
    <w:basedOn w:val="1"/>
    <w:semiHidden/>
    <w:qFormat/>
    <w:uiPriority w:val="0"/>
    <w:pPr>
      <w:spacing w:before="60"/>
      <w:ind w:left="284" w:firstLine="284"/>
      <w:jc w:val="both"/>
    </w:pPr>
    <w:rPr>
      <w:szCs w:val="20"/>
    </w:rPr>
  </w:style>
  <w:style w:type="paragraph" w:styleId="22">
    <w:name w:val="footer"/>
    <w:basedOn w:val="1"/>
    <w:link w:val="95"/>
    <w:qFormat/>
    <w:uiPriority w:val="0"/>
    <w:pPr>
      <w:tabs>
        <w:tab w:val="center" w:pos="4677"/>
        <w:tab w:val="right" w:pos="9355"/>
      </w:tabs>
    </w:pPr>
  </w:style>
  <w:style w:type="paragraph" w:styleId="23">
    <w:name w:val="List"/>
    <w:basedOn w:val="6"/>
    <w:semiHidden/>
    <w:qFormat/>
    <w:uiPriority w:val="0"/>
    <w:rPr>
      <w:rFonts w:cs="Tahoma"/>
    </w:rPr>
  </w:style>
  <w:style w:type="paragraph" w:styleId="24">
    <w:name w:val="Normal (Web)"/>
    <w:basedOn w:val="1"/>
    <w:unhideWhenUsed/>
    <w:qFormat/>
    <w:uiPriority w:val="0"/>
  </w:style>
  <w:style w:type="table" w:styleId="25">
    <w:name w:val="Table Grid"/>
    <w:basedOn w:val="15"/>
    <w:qFormat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6">
    <w:name w:val="WW8Num1z1"/>
    <w:qFormat/>
    <w:uiPriority w:val="0"/>
    <w:rPr>
      <w:sz w:val="24"/>
    </w:rPr>
  </w:style>
  <w:style w:type="character" w:customStyle="1" w:styleId="27">
    <w:name w:val="WW8Num1z2"/>
    <w:qFormat/>
    <w:uiPriority w:val="0"/>
    <w:rPr>
      <w:b/>
      <w:sz w:val="28"/>
      <w:szCs w:val="28"/>
    </w:rPr>
  </w:style>
  <w:style w:type="character" w:customStyle="1" w:styleId="28">
    <w:name w:val="WW8Num1z5"/>
    <w:qFormat/>
    <w:uiPriority w:val="0"/>
  </w:style>
  <w:style w:type="character" w:customStyle="1" w:styleId="29">
    <w:name w:val="WW8Num1z7"/>
    <w:qFormat/>
    <w:uiPriority w:val="0"/>
    <w:rPr>
      <w:sz w:val="24"/>
      <w:szCs w:val="24"/>
    </w:rPr>
  </w:style>
  <w:style w:type="character" w:customStyle="1" w:styleId="30">
    <w:name w:val="Absatz-Standardschriftart"/>
    <w:qFormat/>
    <w:uiPriority w:val="0"/>
  </w:style>
  <w:style w:type="character" w:customStyle="1" w:styleId="31">
    <w:name w:val="WW-Absatz-Standardschriftart"/>
    <w:qFormat/>
    <w:uiPriority w:val="0"/>
  </w:style>
  <w:style w:type="character" w:customStyle="1" w:styleId="32">
    <w:name w:val="WW-Absatz-Standardschriftart1"/>
    <w:qFormat/>
    <w:uiPriority w:val="0"/>
  </w:style>
  <w:style w:type="character" w:customStyle="1" w:styleId="33">
    <w:name w:val="WW-Absatz-Standardschriftart11"/>
    <w:qFormat/>
    <w:uiPriority w:val="0"/>
  </w:style>
  <w:style w:type="character" w:customStyle="1" w:styleId="34">
    <w:name w:val="WW-Absatz-Standardschriftart111"/>
    <w:qFormat/>
    <w:uiPriority w:val="0"/>
  </w:style>
  <w:style w:type="character" w:customStyle="1" w:styleId="35">
    <w:name w:val="WW-Absatz-Standardschriftart1111"/>
    <w:qFormat/>
    <w:uiPriority w:val="0"/>
  </w:style>
  <w:style w:type="character" w:customStyle="1" w:styleId="36">
    <w:name w:val="WW-Absatz-Standardschriftart11111"/>
    <w:qFormat/>
    <w:uiPriority w:val="0"/>
  </w:style>
  <w:style w:type="character" w:customStyle="1" w:styleId="37">
    <w:name w:val="WW-Absatz-Standardschriftart111111"/>
    <w:qFormat/>
    <w:uiPriority w:val="0"/>
  </w:style>
  <w:style w:type="character" w:customStyle="1" w:styleId="38">
    <w:name w:val="WW-Absatz-Standardschriftart1111111"/>
    <w:qFormat/>
    <w:uiPriority w:val="0"/>
  </w:style>
  <w:style w:type="character" w:customStyle="1" w:styleId="39">
    <w:name w:val="WW-Absatz-Standardschriftart11111111"/>
    <w:qFormat/>
    <w:uiPriority w:val="0"/>
  </w:style>
  <w:style w:type="character" w:customStyle="1" w:styleId="40">
    <w:name w:val="WW-Absatz-Standardschriftart111111111"/>
    <w:qFormat/>
    <w:uiPriority w:val="0"/>
  </w:style>
  <w:style w:type="character" w:customStyle="1" w:styleId="41">
    <w:name w:val="WW-Absatz-Standardschriftart1111111111"/>
    <w:qFormat/>
    <w:uiPriority w:val="0"/>
  </w:style>
  <w:style w:type="character" w:customStyle="1" w:styleId="42">
    <w:name w:val="WW-Absatz-Standardschriftart11111111111"/>
    <w:qFormat/>
    <w:uiPriority w:val="0"/>
  </w:style>
  <w:style w:type="character" w:customStyle="1" w:styleId="43">
    <w:name w:val="WW-Absatz-Standardschriftart111111111111"/>
    <w:qFormat/>
    <w:uiPriority w:val="0"/>
  </w:style>
  <w:style w:type="character" w:customStyle="1" w:styleId="44">
    <w:name w:val="WW-Absatz-Standardschriftart1111111111111"/>
    <w:qFormat/>
    <w:uiPriority w:val="0"/>
  </w:style>
  <w:style w:type="character" w:customStyle="1" w:styleId="45">
    <w:name w:val="WW-Absatz-Standardschriftart11111111111111"/>
    <w:qFormat/>
    <w:uiPriority w:val="0"/>
  </w:style>
  <w:style w:type="character" w:customStyle="1" w:styleId="46">
    <w:name w:val="WW-Absatz-Standardschriftart111111111111111"/>
    <w:qFormat/>
    <w:uiPriority w:val="0"/>
  </w:style>
  <w:style w:type="character" w:customStyle="1" w:styleId="47">
    <w:name w:val="WW-Absatz-Standardschriftart1111111111111111"/>
    <w:qFormat/>
    <w:uiPriority w:val="0"/>
  </w:style>
  <w:style w:type="character" w:customStyle="1" w:styleId="48">
    <w:name w:val="WW-Absatz-Standardschriftart11111111111111111"/>
    <w:qFormat/>
    <w:uiPriority w:val="0"/>
  </w:style>
  <w:style w:type="character" w:customStyle="1" w:styleId="49">
    <w:name w:val="WW-Absatz-Standardschriftart111111111111111111"/>
    <w:qFormat/>
    <w:uiPriority w:val="0"/>
  </w:style>
  <w:style w:type="character" w:customStyle="1" w:styleId="50">
    <w:name w:val="Основной шрифт абзаца2"/>
    <w:qFormat/>
    <w:uiPriority w:val="0"/>
  </w:style>
  <w:style w:type="character" w:customStyle="1" w:styleId="51">
    <w:name w:val="WW-Absatz-Standardschriftart1111111111111111111"/>
    <w:qFormat/>
    <w:uiPriority w:val="0"/>
  </w:style>
  <w:style w:type="character" w:customStyle="1" w:styleId="52">
    <w:name w:val="WW-Absatz-Standardschriftart11111111111111111111"/>
    <w:qFormat/>
    <w:uiPriority w:val="0"/>
  </w:style>
  <w:style w:type="character" w:customStyle="1" w:styleId="53">
    <w:name w:val="WW-Absatz-Standardschriftart111111111111111111111"/>
    <w:qFormat/>
    <w:uiPriority w:val="0"/>
  </w:style>
  <w:style w:type="character" w:customStyle="1" w:styleId="54">
    <w:name w:val="WW-Absatz-Standardschriftart1111111111111111111111"/>
    <w:qFormat/>
    <w:uiPriority w:val="0"/>
  </w:style>
  <w:style w:type="character" w:customStyle="1" w:styleId="55">
    <w:name w:val="WW-Absatz-Standardschriftart11111111111111111111111"/>
    <w:qFormat/>
    <w:uiPriority w:val="0"/>
  </w:style>
  <w:style w:type="character" w:customStyle="1" w:styleId="56">
    <w:name w:val="WW-Absatz-Standardschriftart111111111111111111111111"/>
    <w:qFormat/>
    <w:uiPriority w:val="0"/>
  </w:style>
  <w:style w:type="paragraph" w:customStyle="1" w:styleId="57">
    <w:name w:val="Заголовок"/>
    <w:basedOn w:val="1"/>
    <w:next w:val="6"/>
    <w:qFormat/>
    <w:uiPriority w:val="0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customStyle="1" w:styleId="58">
    <w:name w:val="Название2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59">
    <w:name w:val="Указатель2"/>
    <w:basedOn w:val="1"/>
    <w:qFormat/>
    <w:uiPriority w:val="0"/>
    <w:pPr>
      <w:suppressLineNumbers/>
    </w:pPr>
    <w:rPr>
      <w:rFonts w:cs="Tahoma"/>
    </w:rPr>
  </w:style>
  <w:style w:type="paragraph" w:customStyle="1" w:styleId="60">
    <w:name w:val="Название1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61">
    <w:name w:val="Указатель1"/>
    <w:basedOn w:val="1"/>
    <w:qFormat/>
    <w:uiPriority w:val="0"/>
    <w:pPr>
      <w:suppressLineNumbers/>
    </w:pPr>
    <w:rPr>
      <w:rFonts w:cs="Tahoma"/>
    </w:rPr>
  </w:style>
  <w:style w:type="paragraph" w:customStyle="1" w:styleId="62">
    <w:name w:val="Стиль1"/>
    <w:basedOn w:val="1"/>
    <w:qFormat/>
    <w:uiPriority w:val="0"/>
    <w:pPr>
      <w:tabs>
        <w:tab w:val="left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customStyle="1" w:styleId="63">
    <w:name w:val="Стиль2"/>
    <w:basedOn w:val="62"/>
    <w:qFormat/>
    <w:uiPriority w:val="0"/>
    <w:pPr>
      <w:spacing w:before="60"/>
      <w:ind w:left="-7611" w:hanging="567"/>
      <w:outlineLvl w:val="6"/>
    </w:pPr>
  </w:style>
  <w:style w:type="paragraph" w:customStyle="1" w:styleId="64">
    <w:name w:val="Стиль4"/>
    <w:basedOn w:val="1"/>
    <w:qFormat/>
    <w:uiPriority w:val="0"/>
    <w:pPr>
      <w:jc w:val="both"/>
    </w:pPr>
    <w:rPr>
      <w:szCs w:val="20"/>
    </w:rPr>
  </w:style>
  <w:style w:type="paragraph" w:customStyle="1" w:styleId="65">
    <w:name w:val="ConsNonformat"/>
    <w:qFormat/>
    <w:uiPriority w:val="0"/>
    <w:pPr>
      <w:widowControl w:val="0"/>
      <w:suppressAutoHyphens/>
      <w:autoSpaceDE w:val="0"/>
    </w:pPr>
    <w:rPr>
      <w:rFonts w:ascii="Courier New" w:hAnsi="Courier New" w:eastAsia="Times New Roman" w:cs="Courier New"/>
      <w:lang w:val="ru-RU" w:eastAsia="ar-SA" w:bidi="ar-SA"/>
    </w:rPr>
  </w:style>
  <w:style w:type="paragraph" w:customStyle="1" w:styleId="66">
    <w:name w:val="Заголовок статьи"/>
    <w:basedOn w:val="1"/>
    <w:next w:val="1"/>
    <w:qFormat/>
    <w:uiPriority w:val="0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67">
    <w:name w:val="ConsPlusNormal"/>
    <w:qFormat/>
    <w:uiPriority w:val="0"/>
    <w:pPr>
      <w:widowControl w:val="0"/>
      <w:suppressAutoHyphens/>
      <w:autoSpaceDE w:val="0"/>
      <w:ind w:firstLine="720"/>
    </w:pPr>
    <w:rPr>
      <w:rFonts w:ascii="Arial" w:hAnsi="Arial" w:eastAsia="Times New Roman" w:cs="Arial"/>
      <w:lang w:val="ru-RU" w:eastAsia="ar-SA" w:bidi="ar-SA"/>
    </w:rPr>
  </w:style>
  <w:style w:type="paragraph" w:customStyle="1" w:styleId="68">
    <w:name w:val="Основной текст с отступом 21"/>
    <w:basedOn w:val="1"/>
    <w:qFormat/>
    <w:uiPriority w:val="0"/>
    <w:pPr>
      <w:spacing w:after="120" w:line="480" w:lineRule="auto"/>
      <w:ind w:left="283"/>
    </w:pPr>
  </w:style>
  <w:style w:type="paragraph" w:customStyle="1" w:styleId="69">
    <w:name w:val="ConsNormal"/>
    <w:qFormat/>
    <w:uiPriority w:val="0"/>
    <w:pPr>
      <w:widowControl w:val="0"/>
      <w:suppressAutoHyphens/>
      <w:snapToGrid w:val="0"/>
      <w:ind w:firstLine="720"/>
    </w:pPr>
    <w:rPr>
      <w:rFonts w:ascii="Arial" w:hAnsi="Arial" w:eastAsia="Times New Roman" w:cs="Times New Roman"/>
      <w:lang w:val="ru-RU" w:eastAsia="ar-SA" w:bidi="ar-SA"/>
    </w:rPr>
  </w:style>
  <w:style w:type="paragraph" w:customStyle="1" w:styleId="70">
    <w:name w:val="Содержимое врезки"/>
    <w:basedOn w:val="6"/>
    <w:qFormat/>
    <w:uiPriority w:val="0"/>
  </w:style>
  <w:style w:type="paragraph" w:customStyle="1" w:styleId="71">
    <w:name w:val="Основной текст с отступом 31"/>
    <w:basedOn w:val="1"/>
    <w:qFormat/>
    <w:uiPriority w:val="0"/>
    <w:pPr>
      <w:ind w:firstLine="540"/>
      <w:jc w:val="both"/>
    </w:pPr>
  </w:style>
  <w:style w:type="paragraph" w:customStyle="1" w:styleId="72">
    <w:name w:val="Список 31"/>
    <w:basedOn w:val="1"/>
    <w:qFormat/>
    <w:uiPriority w:val="0"/>
    <w:pPr>
      <w:ind w:left="849" w:hanging="283"/>
    </w:pPr>
  </w:style>
  <w:style w:type="paragraph" w:customStyle="1" w:styleId="73">
    <w:name w:val="Продолжение списка 31"/>
    <w:basedOn w:val="1"/>
    <w:qFormat/>
    <w:uiPriority w:val="0"/>
    <w:pPr>
      <w:spacing w:after="120"/>
      <w:ind w:left="849"/>
    </w:pPr>
  </w:style>
  <w:style w:type="paragraph" w:customStyle="1" w:styleId="74">
    <w:name w:val="Продолжение списка 21"/>
    <w:basedOn w:val="1"/>
    <w:qFormat/>
    <w:uiPriority w:val="0"/>
    <w:pPr>
      <w:spacing w:after="120"/>
      <w:ind w:left="566"/>
    </w:pPr>
  </w:style>
  <w:style w:type="paragraph" w:customStyle="1" w:styleId="75">
    <w:name w:val="Обычный (Web)"/>
    <w:basedOn w:val="1"/>
    <w:qFormat/>
    <w:uiPriority w:val="0"/>
    <w:pPr>
      <w:spacing w:before="280" w:after="280"/>
      <w:ind w:firstLine="567"/>
    </w:pPr>
  </w:style>
  <w:style w:type="paragraph" w:customStyle="1" w:styleId="76">
    <w:name w:val="ConsPlusTitle"/>
    <w:qFormat/>
    <w:uiPriority w:val="0"/>
    <w:pPr>
      <w:widowControl w:val="0"/>
      <w:suppressAutoHyphens/>
      <w:autoSpaceDE w:val="0"/>
    </w:pPr>
    <w:rPr>
      <w:rFonts w:ascii="Arial" w:hAnsi="Arial" w:eastAsia="Times New Roman" w:cs="Arial"/>
      <w:b/>
      <w:bCs/>
      <w:lang w:val="ru-RU" w:eastAsia="ar-SA" w:bidi="ar-SA"/>
    </w:rPr>
  </w:style>
  <w:style w:type="paragraph" w:customStyle="1" w:styleId="77">
    <w:name w:val="Содержимое таблицы"/>
    <w:basedOn w:val="1"/>
    <w:qFormat/>
    <w:uiPriority w:val="0"/>
    <w:pPr>
      <w:suppressLineNumbers/>
    </w:pPr>
  </w:style>
  <w:style w:type="paragraph" w:customStyle="1" w:styleId="78">
    <w:name w:val="Заголовок таблицы"/>
    <w:basedOn w:val="77"/>
    <w:qFormat/>
    <w:uiPriority w:val="0"/>
    <w:pPr>
      <w:jc w:val="center"/>
    </w:pPr>
    <w:rPr>
      <w:b/>
      <w:bCs/>
      <w:i/>
      <w:iCs/>
    </w:rPr>
  </w:style>
  <w:style w:type="character" w:customStyle="1" w:styleId="79">
    <w:name w:val="Текст выноски Знак"/>
    <w:link w:val="19"/>
    <w:semiHidden/>
    <w:qFormat/>
    <w:uiPriority w:val="99"/>
    <w:rPr>
      <w:rFonts w:ascii="Tahoma" w:hAnsi="Tahoma" w:cs="Tahoma"/>
      <w:sz w:val="16"/>
      <w:szCs w:val="16"/>
      <w:lang w:eastAsia="ar-SA"/>
    </w:rPr>
  </w:style>
  <w:style w:type="paragraph" w:styleId="80">
    <w:name w:val="No Spacing"/>
    <w:qFormat/>
    <w:uiPriority w:val="1"/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81">
    <w:name w:val="p3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82">
    <w:name w:val="apple-converted-space"/>
    <w:qFormat/>
    <w:uiPriority w:val="0"/>
  </w:style>
  <w:style w:type="character" w:customStyle="1" w:styleId="83">
    <w:name w:val="hyperlink"/>
    <w:qFormat/>
    <w:uiPriority w:val="0"/>
  </w:style>
  <w:style w:type="paragraph" w:customStyle="1" w:styleId="84">
    <w:name w:val="_Style 79"/>
    <w:basedOn w:val="1"/>
    <w:next w:val="24"/>
    <w:qFormat/>
    <w:uiPriority w:val="9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85">
    <w:name w:val="List Paragraph"/>
    <w:basedOn w:val="1"/>
    <w:link w:val="102"/>
    <w:qFormat/>
    <w:uiPriority w:val="34"/>
    <w:pPr>
      <w:spacing w:after="200" w:line="276" w:lineRule="auto"/>
      <w:ind w:left="720"/>
    </w:pPr>
    <w:rPr>
      <w:rFonts w:ascii="Calibri" w:hAnsi="Calibri" w:eastAsia="Calibri"/>
      <w:sz w:val="22"/>
      <w:szCs w:val="22"/>
    </w:rPr>
  </w:style>
  <w:style w:type="character" w:customStyle="1" w:styleId="86">
    <w:name w:val="Название Знак"/>
    <w:link w:val="3"/>
    <w:uiPriority w:val="1"/>
    <w:rPr>
      <w:rFonts w:ascii="Arial" w:hAnsi="Arial" w:eastAsia="Arial" w:cs="Arial"/>
      <w:b/>
      <w:bCs/>
      <w:sz w:val="22"/>
      <w:szCs w:val="22"/>
      <w:lang w:eastAsia="en-US"/>
    </w:rPr>
  </w:style>
  <w:style w:type="character" w:customStyle="1" w:styleId="87">
    <w:name w:val="Основной текст_"/>
    <w:link w:val="88"/>
    <w:qFormat/>
    <w:uiPriority w:val="0"/>
    <w:rPr>
      <w:sz w:val="28"/>
      <w:szCs w:val="28"/>
    </w:rPr>
  </w:style>
  <w:style w:type="paragraph" w:customStyle="1" w:styleId="88">
    <w:name w:val="Основной текст1"/>
    <w:basedOn w:val="1"/>
    <w:link w:val="87"/>
    <w:uiPriority w:val="0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89">
    <w:name w:val="Heading 1"/>
    <w:basedOn w:val="1"/>
    <w:qFormat/>
    <w:uiPriority w:val="1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paragraph" w:customStyle="1" w:styleId="90">
    <w:name w:val="Style2"/>
    <w:basedOn w:val="1"/>
    <w:uiPriority w:val="0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91">
    <w:name w:val="Style5"/>
    <w:basedOn w:val="1"/>
    <w:qFormat/>
    <w:uiPriority w:val="0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92">
    <w:name w:val="Font Style30"/>
    <w:basedOn w:val="14"/>
    <w:uiPriority w:val="0"/>
    <w:rPr>
      <w:rFonts w:hint="default" w:ascii="Times New Roman" w:hAnsi="Times New Roman" w:cs="Times New Roman"/>
      <w:b/>
      <w:bCs/>
      <w:sz w:val="24"/>
      <w:szCs w:val="24"/>
    </w:rPr>
  </w:style>
  <w:style w:type="character" w:customStyle="1" w:styleId="93">
    <w:name w:val="Font Style31"/>
    <w:basedOn w:val="14"/>
    <w:qFormat/>
    <w:uiPriority w:val="0"/>
    <w:rPr>
      <w:rFonts w:hint="default" w:ascii="Times New Roman" w:hAnsi="Times New Roman" w:cs="Times New Roman"/>
      <w:sz w:val="24"/>
      <w:szCs w:val="24"/>
    </w:rPr>
  </w:style>
  <w:style w:type="character" w:customStyle="1" w:styleId="94">
    <w:name w:val="Верхний колонтитул Знак"/>
    <w:basedOn w:val="14"/>
    <w:link w:val="20"/>
    <w:qFormat/>
    <w:uiPriority w:val="99"/>
    <w:rPr>
      <w:sz w:val="24"/>
      <w:szCs w:val="24"/>
      <w:lang w:eastAsia="ar-SA"/>
    </w:rPr>
  </w:style>
  <w:style w:type="character" w:customStyle="1" w:styleId="95">
    <w:name w:val="Нижний колонтитул Знак"/>
    <w:basedOn w:val="14"/>
    <w:link w:val="22"/>
    <w:qFormat/>
    <w:uiPriority w:val="0"/>
    <w:rPr>
      <w:sz w:val="24"/>
      <w:szCs w:val="24"/>
      <w:lang w:eastAsia="ar-SA"/>
    </w:rPr>
  </w:style>
  <w:style w:type="paragraph" w:customStyle="1" w:styleId="96">
    <w:name w:val="text"/>
    <w:basedOn w:val="1"/>
    <w:qFormat/>
    <w:uiPriority w:val="0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97">
    <w:name w:val="consplustitle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98">
    <w:name w:val="Гипертекстовая ссылка"/>
    <w:qFormat/>
    <w:uiPriority w:val="99"/>
    <w:rPr>
      <w:color w:val="106BBE"/>
    </w:rPr>
  </w:style>
  <w:style w:type="character" w:customStyle="1" w:styleId="99">
    <w:name w:val="Заголовок 1 Знак"/>
    <w:basedOn w:val="14"/>
    <w:link w:val="2"/>
    <w:qFormat/>
    <w:uiPriority w:val="0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100">
    <w:name w:val="Заголовок 8 Знак"/>
    <w:basedOn w:val="14"/>
    <w:link w:val="12"/>
    <w:semiHidden/>
    <w:uiPriority w:val="9"/>
    <w:rPr>
      <w:rFonts w:asciiTheme="majorHAnsi" w:hAnsiTheme="majorHAnsi" w:eastAsiaTheme="majorEastAsia" w:cstheme="majorBidi"/>
      <w:color w:val="404040" w:themeColor="text1" w:themeTint="BF"/>
      <w:lang w:eastAsia="ar-SA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customStyle="1" w:styleId="101">
    <w:name w:val="p7"/>
    <w:basedOn w:val="1"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02">
    <w:name w:val="Абзац списка Знак"/>
    <w:link w:val="85"/>
    <w:qFormat/>
    <w:locked/>
    <w:uiPriority w:val="0"/>
    <w:rPr>
      <w:rFonts w:ascii="Calibri" w:hAnsi="Calibri" w:eastAsia="Calibri"/>
      <w:sz w:val="22"/>
      <w:szCs w:val="22"/>
      <w:lang w:eastAsia="ar-SA"/>
    </w:rPr>
  </w:style>
  <w:style w:type="paragraph" w:customStyle="1" w:styleId="103">
    <w:name w:val="Абзац1"/>
    <w:basedOn w:val="1"/>
    <w:qFormat/>
    <w:uiPriority w:val="0"/>
    <w:pPr>
      <w:widowControl w:val="0"/>
      <w:suppressAutoHyphens w:val="0"/>
      <w:spacing w:after="60" w:line="360" w:lineRule="exact"/>
      <w:ind w:firstLine="709"/>
      <w:jc w:val="both"/>
    </w:pPr>
    <w:rPr>
      <w:sz w:val="28"/>
      <w:szCs w:val="20"/>
    </w:rPr>
  </w:style>
  <w:style w:type="paragraph" w:customStyle="1" w:styleId="104">
    <w:name w:val="Style1"/>
    <w:basedOn w:val="1"/>
    <w:qFormat/>
    <w:uiPriority w:val="0"/>
    <w:pPr>
      <w:widowControl w:val="0"/>
      <w:suppressAutoHyphens/>
      <w:autoSpaceDE w:val="0"/>
      <w:spacing w:after="0" w:line="278" w:lineRule="exact"/>
      <w:ind w:firstLine="912"/>
    </w:pPr>
    <w:rPr>
      <w:rFonts w:ascii="Times New Roman" w:hAnsi="Times New Roman" w:eastAsia="Times New Roman"/>
      <w:sz w:val="24"/>
      <w:szCs w:val="24"/>
      <w:lang w:eastAsia="ar-SA"/>
    </w:rPr>
  </w:style>
  <w:style w:type="character" w:customStyle="1" w:styleId="105">
    <w:name w:val="Font Style17"/>
    <w:qFormat/>
    <w:uiPriority w:val="0"/>
    <w:rPr>
      <w:rFonts w:ascii="Times New Roman" w:hAnsi="Times New Roman" w:cs="Times New Roman"/>
      <w:b/>
      <w:bCs/>
      <w:sz w:val="22"/>
      <w:szCs w:val="22"/>
    </w:rPr>
  </w:style>
  <w:style w:type="character" w:customStyle="1" w:styleId="106">
    <w:name w:val="Колонтитул_"/>
    <w:link w:val="107"/>
    <w:qFormat/>
    <w:uiPriority w:val="0"/>
    <w:rPr>
      <w:rFonts w:ascii="Times New Roman" w:hAnsi="Times New Roman" w:eastAsia="Times New Roman"/>
      <w:spacing w:val="2"/>
      <w:sz w:val="21"/>
      <w:szCs w:val="21"/>
      <w:lang w:eastAsia="ru-RU"/>
    </w:rPr>
  </w:style>
  <w:style w:type="paragraph" w:customStyle="1" w:styleId="107">
    <w:name w:val="Колонтитул1"/>
    <w:basedOn w:val="1"/>
    <w:link w:val="106"/>
    <w:qFormat/>
    <w:uiPriority w:val="0"/>
    <w:pPr>
      <w:widowControl w:val="0"/>
      <w:shd w:val="clear" w:color="auto" w:fill="FFFFFF"/>
      <w:spacing w:after="0" w:line="240" w:lineRule="atLeast"/>
    </w:pPr>
    <w:rPr>
      <w:rFonts w:ascii="Times New Roman" w:hAnsi="Times New Roman" w:eastAsia="Times New Roman"/>
      <w:spacing w:val="2"/>
      <w:sz w:val="21"/>
      <w:szCs w:val="21"/>
      <w:lang w:eastAsia="ru-RU"/>
    </w:rPr>
  </w:style>
  <w:style w:type="character" w:customStyle="1" w:styleId="108">
    <w:name w:val="Подпись к таблице + Интервал 0 pt"/>
    <w:qFormat/>
    <w:uiPriority w:val="0"/>
    <w:rPr>
      <w:spacing w:val="2"/>
      <w:sz w:val="21"/>
      <w:szCs w:val="21"/>
      <w:lang w:bidi="ar-SA"/>
    </w:rPr>
  </w:style>
  <w:style w:type="paragraph" w:customStyle="1" w:styleId="109">
    <w:name w:val="Подпись к таблице1"/>
    <w:basedOn w:val="1"/>
    <w:qFormat/>
    <w:uiPriority w:val="0"/>
    <w:pPr>
      <w:widowControl w:val="0"/>
      <w:shd w:val="clear" w:color="auto" w:fill="FFFFFF"/>
      <w:spacing w:after="0" w:line="240" w:lineRule="atLeast"/>
    </w:pPr>
    <w:rPr>
      <w:rFonts w:ascii="Times New Roman" w:hAnsi="Times New Roman" w:eastAsia="Times New Roman"/>
      <w:spacing w:val="3"/>
      <w:sz w:val="21"/>
      <w:szCs w:val="21"/>
      <w:lang w:eastAsia="ru-RU"/>
    </w:rPr>
  </w:style>
  <w:style w:type="character" w:customStyle="1" w:styleId="110">
    <w:name w:val="Основной текст + Интервал 0 pt"/>
    <w:qFormat/>
    <w:uiPriority w:val="0"/>
    <w:rPr>
      <w:rFonts w:ascii="Times New Roman" w:hAnsi="Times New Roman" w:cs="Times New Roman"/>
      <w:spacing w:val="2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247</Words>
  <Characters>1412</Characters>
  <Lines>11</Lines>
  <Paragraphs>3</Paragraphs>
  <TotalTime>0</TotalTime>
  <ScaleCrop>false</ScaleCrop>
  <LinksUpToDate>false</LinksUpToDate>
  <CharactersWithSpaces>1656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2025-07-31T09:53:00Z</dcterms:created>
  <dc:creator>Ключникова Марина</dc:creator>
  <cp:lastModifiedBy>User</cp:lastModifiedBy>
  <cp:lastPrinted>2025-04-28T08:59:00Z</cp:lastPrinted>
  <dcterms:modified xsi:type="dcterms:W3CDTF">2025-12-10T07:41:40Z</dcterms:modified>
  <dc:title>ИНФОРМАЦИОННЫЙ БЮЛЛЕТЕНЬ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897EEC4B0875481C931E521FAE82E884_13</vt:lpwstr>
  </property>
</Properties>
</file>