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5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045"/>
        <w:gridCol w:w="4593"/>
      </w:tblGrid>
      <w:tr>
        <w:trPr>
          <w:trHeight w:hRule="atLeast" w:val="3118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tabs>
                <w:tab w:leader="none" w:pos="4330" w:val="left"/>
              </w:tabs>
              <w:ind/>
            </w:pPr>
          </w:p>
        </w:tc>
        <w:tc>
          <w:tcPr>
            <w:tcW w:type="dxa" w:w="4593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spacing w:after="0" w:line="240" w:lineRule="exact"/>
              <w:ind w:right="6"/>
              <w:rPr>
                <w:rFonts w:ascii="Times New Roman" w:hAnsi="Times New Roman"/>
                <w:sz w:val="28"/>
              </w:rPr>
            </w:pPr>
          </w:p>
          <w:p w14:paraId="09000000">
            <w:pPr>
              <w:spacing w:after="0" w:line="240" w:lineRule="exact"/>
              <w:ind w:right="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Главам сельских поселений Атюрьевского муниципального района Республики Мордовия</w:t>
            </w:r>
          </w:p>
        </w:tc>
      </w:tr>
      <w:tr>
        <w:trPr>
          <w:trHeight w:hRule="atLeast" w:val="454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A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1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1"/>
          </w:p>
        </w:tc>
        <w:tc>
          <w:tcPr>
            <w:tcW w:type="dxa" w:w="4593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342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B000000">
            <w:pPr>
              <w:rPr>
                <w:color w:val="000000"/>
                <w:sz w:val="22"/>
              </w:rPr>
            </w:pPr>
          </w:p>
        </w:tc>
        <w:tc>
          <w:tcPr>
            <w:tcW w:type="dxa" w:w="4593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0C000000">
      <w:pPr>
        <w:tabs>
          <w:tab w:leader="none" w:pos="4784" w:val="right"/>
        </w:tabs>
        <w:ind/>
        <w:jc w:val="center"/>
        <w:rPr>
          <w:color w:val="C0504D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68605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68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0D000000">
                                <w:pPr>
                                  <w:pStyle w:val="Style_4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0E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0F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0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1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2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3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4000000">
                                <w:pPr>
                                  <w:pStyle w:val="Style_4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5000000">
                                <w:pPr>
                                  <w:pStyle w:val="Style_4"/>
                                  <w:keepNext w:val="1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6000000">
                                <w:pPr>
                                  <w:pStyle w:val="Style_5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17000000">
                                <w:pPr>
                                  <w:pStyle w:val="Style_6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18000000">
                                <w:pPr>
                                  <w:pStyle w:val="Style_6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19000000">
                                <w:pPr>
                                  <w:pStyle w:val="Style_4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 xml:space="preserve">Прокуратура </w:t>
                                </w:r>
                              </w:p>
                              <w:p w14:paraId="1A000000">
                                <w:pPr>
                                  <w:pStyle w:val="Style_4"/>
                                  <w:tabs>
                                    <w:tab w:leader="none" w:pos="1005" w:val="left"/>
                                  </w:tabs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Атюрьевского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 xml:space="preserve"> района</w:t>
                                </w:r>
                              </w:p>
                              <w:p w14:paraId="1B000000">
                                <w:pPr>
                                  <w:pStyle w:val="Style_7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ул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.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Центральная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с.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Атюрьево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050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(8-834-54)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2-20-03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aturjevo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C000000">
      <w:pPr>
        <w:spacing w:after="0" w:line="240" w:lineRule="auto"/>
        <w:ind w:firstLine="709" w:left="0"/>
        <w:jc w:val="center"/>
        <w:rPr>
          <w:rFonts w:ascii="Times New Roman" w:hAnsi="Times New Roman"/>
          <w:color w:themeColor="text1" w:val="000000"/>
          <w:sz w:val="28"/>
        </w:rPr>
      </w:pPr>
    </w:p>
    <w:p w14:paraId="1D000000">
      <w:pPr>
        <w:spacing w:after="0" w:line="240" w:lineRule="auto"/>
        <w:ind w:firstLine="709" w:left="0"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Уважаемые главы </w:t>
      </w:r>
      <w:r>
        <w:rPr>
          <w:rFonts w:ascii="Times New Roman" w:hAnsi="Times New Roman"/>
          <w:color w:themeColor="text1" w:val="000000"/>
          <w:sz w:val="28"/>
        </w:rPr>
        <w:t>сельских поселений</w:t>
      </w:r>
      <w:r>
        <w:rPr>
          <w:rFonts w:ascii="Times New Roman" w:hAnsi="Times New Roman"/>
          <w:color w:themeColor="text1" w:val="000000"/>
          <w:sz w:val="28"/>
        </w:rPr>
        <w:t>!</w:t>
      </w:r>
    </w:p>
    <w:p w14:paraId="1E000000">
      <w:pPr>
        <w:spacing w:after="0" w:line="24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</w:p>
    <w:p w14:paraId="1F000000">
      <w:pPr>
        <w:widowControl w:val="0"/>
        <w:spacing w:after="0" w:line="240" w:lineRule="auto"/>
        <w:ind w:firstLine="709" w:left="0"/>
        <w:jc w:val="both"/>
        <w:outlineLvl w:val="0"/>
        <w:rPr>
          <w:color w:val="000000"/>
          <w:sz w:val="28"/>
        </w:rPr>
      </w:pPr>
    </w:p>
    <w:p w14:paraId="20000000">
      <w:pPr>
        <w:widowControl w:val="0"/>
        <w:spacing w:after="0" w:line="240" w:lineRule="auto"/>
        <w:ind w:firstLine="709" w:left="0"/>
        <w:jc w:val="both"/>
        <w:outlineLvl w:val="0"/>
        <w:rPr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Прошу опубликовать в информационных бюллетенях сельских поселений, </w:t>
      </w:r>
      <w:r>
        <w:rPr>
          <w:rFonts w:ascii="Times New Roman" w:hAnsi="Times New Roman"/>
          <w:color w:themeColor="text1" w:val="000000"/>
          <w:sz w:val="28"/>
        </w:rPr>
        <w:t xml:space="preserve">а также на официальных сайтах </w:t>
      </w:r>
      <w:r>
        <w:rPr>
          <w:rFonts w:ascii="Times New Roman" w:hAnsi="Times New Roman"/>
          <w:color w:themeColor="text1" w:val="000000"/>
          <w:sz w:val="28"/>
        </w:rPr>
        <w:t>следующ</w:t>
      </w:r>
      <w:r>
        <w:rPr>
          <w:rFonts w:ascii="Times New Roman" w:hAnsi="Times New Roman"/>
          <w:color w:themeColor="text1" w:val="000000"/>
          <w:sz w:val="28"/>
        </w:rPr>
        <w:t>ую информаци</w:t>
      </w:r>
      <w:r>
        <w:rPr>
          <w:color w:val="000000"/>
          <w:sz w:val="28"/>
        </w:rPr>
        <w:t>ю:</w:t>
      </w:r>
    </w:p>
    <w:p w14:paraId="21000000">
      <w:pPr>
        <w:widowControl w:val="0"/>
        <w:spacing w:after="0" w:line="240" w:lineRule="auto"/>
        <w:ind/>
        <w:outlineLvl w:val="0"/>
        <w:rPr>
          <w:color w:val="000000"/>
          <w:sz w:val="28"/>
        </w:rPr>
      </w:pPr>
    </w:p>
    <w:p w14:paraId="22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Житель Атюрьевского района признан виновным в уклонении </w:t>
      </w:r>
      <w:r>
        <w:rPr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от уплаты алиментов на содержание ребенка</w:t>
      </w:r>
    </w:p>
    <w:p w14:paraId="23000000">
      <w:pPr>
        <w:spacing w:after="0" w:line="24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Торбеевским районным судом Республики Мордовия (постоянное судебное присутствие в с. Атюрьево) вынесен приговор в отношении </w:t>
      </w:r>
      <w:r>
        <w:rPr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 xml:space="preserve">26-летнего местного жителя. Он признан виновным в совершении преступления, предусмотренного ч. 1 ст. 157 УК РФ (уклонение от уплаты алиментов). </w:t>
      </w:r>
    </w:p>
    <w:p w14:paraId="24000000">
      <w:pPr>
        <w:spacing w:after="0" w:line="24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Судом установлено, что подсудимый, будучи привлеченным </w:t>
      </w:r>
      <w:r>
        <w:rPr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 xml:space="preserve">к административной ответственности за уклонение от уплаты алиментов, </w:t>
      </w:r>
      <w:r>
        <w:rPr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 xml:space="preserve">после неоднократных предупреждений судебного пристава-исполнителя, продолжил уклоняться от уплаты алиментов на содержание своего несовершеннолетнего ребенка. Общая сумма задолженности по алиментам составила более 160 тыс. рублей. </w:t>
      </w:r>
    </w:p>
    <w:p w14:paraId="25000000">
      <w:pPr>
        <w:spacing w:after="0" w:line="240" w:lineRule="auto"/>
        <w:ind w:firstLine="70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С учетом позиции прокуратуры района суд назначил виновному наказание в виде исправительных работ сроком на 5 месяцев, с удержанием </w:t>
      </w:r>
      <w:r>
        <w:rPr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 xml:space="preserve">в доход государства 10 % из заработной платы осужденного. </w:t>
      </w:r>
    </w:p>
    <w:p w14:paraId="26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</w:p>
    <w:p w14:paraId="27000000">
      <w:pPr>
        <w:ind w:firstLine="0" w:left="-708"/>
      </w:pPr>
    </w:p>
    <w:tbl>
      <w:tblPr>
        <w:tblStyle w:val="Style_8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rPr>
          <w:trHeight w:hRule="atLeast" w:val="682"/>
        </w:trP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spacing w:line="240" w:lineRule="exact"/>
              <w:ind w:firstLine="0" w:left="-108"/>
            </w:pPr>
            <w:r>
              <w:t>Прокурор района</w:t>
            </w:r>
          </w:p>
          <w:p w14:paraId="29000000">
            <w:pPr>
              <w:spacing w:line="240" w:lineRule="exact"/>
              <w:ind w:firstLine="0" w:left="-108"/>
              <w:jc w:val="both"/>
            </w:pPr>
          </w:p>
          <w:p w14:paraId="2A000000">
            <w:pPr>
              <w:spacing w:line="240" w:lineRule="exact"/>
              <w:ind w:firstLine="0" w:left="-108"/>
              <w:jc w:val="both"/>
            </w:pPr>
            <w:r>
              <w:t>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B000000">
            <w:pPr>
              <w:spacing w:line="240" w:lineRule="exact"/>
              <w:ind w:right="-108"/>
              <w:jc w:val="right"/>
            </w:pPr>
            <w:r>
              <w:t xml:space="preserve">И.М. Баукин </w:t>
            </w:r>
          </w:p>
        </w:tc>
      </w:tr>
      <w:tr>
        <w:trPr>
          <w:trHeight w:hRule="atLeast" w:val="813"/>
        </w:trPr>
        <w:tc>
          <w:tcPr>
            <w:tcW w:type="dxa" w:w="3295"/>
            <w:shd w:fill="auto" w:val="clear"/>
          </w:tcPr>
          <w:p w14:paraId="2C000000">
            <w:pPr>
              <w:ind w:firstLine="0" w:left="-107"/>
              <w:rPr>
                <w:rFonts w:ascii="Calibri" w:hAnsi="Calibri"/>
                <w:color w:val="D9D9D9"/>
              </w:rPr>
            </w:pP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2D000000">
            <w:pPr>
              <w:ind w:firstLine="0" w:left="-107"/>
              <w:rPr>
                <w:color w:val="D9D9D9"/>
              </w:rPr>
            </w:pPr>
            <w:bookmarkStart w:id="2" w:name="SIGNERSTAMP1"/>
            <w:r>
              <w:rPr>
                <w:color w:val="D9D9D9"/>
              </w:rPr>
              <w:t>штамп подписи 1</w:t>
            </w:r>
            <w:bookmarkEnd w:id="2"/>
          </w:p>
          <w:p w14:paraId="2E000000">
            <w:pPr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2F000000">
      <w:pPr>
        <w:rPr>
          <w:color w:val="D9D9D9"/>
        </w:rPr>
      </w:pPr>
    </w:p>
    <w:sectPr>
      <w:headerReference r:id="rId1" w:type="default"/>
      <w:headerReference r:id="rId3" w:type="first"/>
      <w:headerReference r:id="rId4" w:type="even"/>
      <w:footerReference r:id="rId2" w:type="default"/>
      <w:footerReference r:id="rId5" w:type="even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</w:pPr>
  </w:p>
</w:ftr>
</file>

<file path=word/footer5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hdr>
</file>

<file path=word/header4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2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9" w:type="paragraph">
    <w:name w:val="toc 2"/>
    <w:next w:val="Style_4"/>
    <w:link w:val="Style_9_ch"/>
    <w:uiPriority w:val="39"/>
    <w:pPr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" w:type="paragraph">
    <w:name w:val="foot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footer"/>
    <w:basedOn w:val="Style_4_ch"/>
    <w:link w:val="Style_1"/>
  </w:style>
  <w:style w:styleId="Style_10" w:type="paragraph">
    <w:name w:val="toc 4"/>
    <w:next w:val="Style_4"/>
    <w:link w:val="Style_10_ch"/>
    <w:uiPriority w:val="39"/>
    <w:pPr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Основной шрифт абзаца1"/>
    <w:link w:val="Style_12_ch"/>
  </w:style>
  <w:style w:styleId="Style_12_ch" w:type="character">
    <w:name w:val="Основной шрифт абзаца1"/>
    <w:link w:val="Style_12"/>
  </w:style>
  <w:style w:styleId="Style_13" w:type="paragraph">
    <w:name w:val="toc 7"/>
    <w:next w:val="Style_4"/>
    <w:link w:val="Style_13_ch"/>
    <w:uiPriority w:val="39"/>
    <w:pPr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5" w:type="paragraph">
    <w:name w:val="Обычный1"/>
    <w:link w:val="Style_15_ch"/>
    <w:rPr>
      <w:rFonts w:ascii="Times New Roman" w:hAnsi="Times New Roman"/>
      <w:sz w:val="28"/>
    </w:rPr>
  </w:style>
  <w:style w:styleId="Style_15_ch" w:type="character">
    <w:name w:val="Обычный1"/>
    <w:link w:val="Style_15"/>
    <w:rPr>
      <w:rFonts w:ascii="Times New Roman" w:hAnsi="Times New Roman"/>
      <w:sz w:val="28"/>
    </w:rPr>
  </w:style>
  <w:style w:styleId="Style_2" w:type="paragraph">
    <w:name w:val="header"/>
    <w:basedOn w:val="Style_4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header"/>
    <w:basedOn w:val="Style_4_ch"/>
    <w:link w:val="Style_2"/>
  </w:style>
  <w:style w:styleId="Style_16" w:type="paragraph">
    <w:name w:val="Основной шрифт абзаца2"/>
    <w:link w:val="Style_16_ch"/>
  </w:style>
  <w:style w:styleId="Style_16_ch" w:type="character">
    <w:name w:val="Основной шрифт абзаца2"/>
    <w:link w:val="Style_16"/>
  </w:style>
  <w:style w:styleId="Style_17" w:type="paragraph">
    <w:name w:val="toc 3"/>
    <w:next w:val="Style_4"/>
    <w:link w:val="Style_17_ch"/>
    <w:uiPriority w:val="39"/>
    <w:pPr>
      <w:ind w:firstLine="0" w:left="400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Обычный12"/>
    <w:link w:val="Style_18_ch"/>
    <w:rPr>
      <w:rFonts w:ascii="Times New Roman" w:hAnsi="Times New Roman"/>
      <w:sz w:val="28"/>
    </w:rPr>
  </w:style>
  <w:style w:styleId="Style_18_ch" w:type="character">
    <w:name w:val="Обычный12"/>
    <w:link w:val="Style_18"/>
    <w:rPr>
      <w:rFonts w:ascii="Times New Roman" w:hAnsi="Times New Roman"/>
      <w:sz w:val="28"/>
    </w:rPr>
  </w:style>
  <w:style w:styleId="Style_19" w:type="paragraph">
    <w:name w:val="Гиперссылка1"/>
    <w:link w:val="Style_19_ch"/>
    <w:rPr>
      <w:color w:val="0000FF"/>
      <w:u w:val="single"/>
    </w:rPr>
  </w:style>
  <w:style w:styleId="Style_19_ch" w:type="character">
    <w:name w:val="Гиперссылка1"/>
    <w:link w:val="Style_19"/>
    <w:rPr>
      <w:color w:val="0000FF"/>
      <w:u w:val="single"/>
    </w:rPr>
  </w:style>
  <w:style w:styleId="Style_20" w:type="paragraph">
    <w:name w:val="heading 5"/>
    <w:next w:val="Style_4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Гиперссылка2"/>
    <w:link w:val="Style_21_ch"/>
    <w:rPr>
      <w:color w:val="0000FF"/>
      <w:u w:val="single"/>
    </w:rPr>
  </w:style>
  <w:style w:styleId="Style_21_ch" w:type="character">
    <w:name w:val="Гиперссылка2"/>
    <w:link w:val="Style_21"/>
    <w:rPr>
      <w:color w:val="0000FF"/>
      <w:u w:val="single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27" w:type="paragraph">
    <w:name w:val="toc 9"/>
    <w:next w:val="Style_4"/>
    <w:link w:val="Style_27_ch"/>
    <w:uiPriority w:val="39"/>
    <w:pPr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Balloon Text"/>
    <w:basedOn w:val="Style_4"/>
    <w:link w:val="Style_28_ch"/>
    <w:rPr>
      <w:rFonts w:ascii="Tahoma" w:hAnsi="Tahoma"/>
      <w:sz w:val="16"/>
    </w:rPr>
  </w:style>
  <w:style w:styleId="Style_28_ch" w:type="character">
    <w:name w:val="Balloon Text"/>
    <w:basedOn w:val="Style_4_ch"/>
    <w:link w:val="Style_28"/>
    <w:rPr>
      <w:rFonts w:ascii="Tahoma" w:hAnsi="Tahoma"/>
      <w:sz w:val="16"/>
    </w:rPr>
  </w:style>
  <w:style w:styleId="Style_29" w:type="paragraph">
    <w:name w:val="Гиперссылка2"/>
    <w:link w:val="Style_29_ch"/>
    <w:rPr>
      <w:color w:val="0000FF"/>
      <w:u w:val="single"/>
    </w:rPr>
  </w:style>
  <w:style w:styleId="Style_29_ch" w:type="character">
    <w:name w:val="Гиперссылка2"/>
    <w:link w:val="Style_29"/>
    <w:rPr>
      <w:color w:val="0000FF"/>
      <w:u w:val="single"/>
    </w:rPr>
  </w:style>
  <w:style w:styleId="Style_30" w:type="paragraph">
    <w:name w:val="toc 8"/>
    <w:next w:val="Style_4"/>
    <w:link w:val="Style_30_ch"/>
    <w:uiPriority w:val="39"/>
    <w:pPr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Обычный1"/>
    <w:link w:val="Style_31_ch"/>
    <w:rPr>
      <w:rFonts w:ascii="Times New Roman" w:hAnsi="Times New Roman"/>
      <w:sz w:val="28"/>
    </w:rPr>
  </w:style>
  <w:style w:styleId="Style_31_ch" w:type="character">
    <w:name w:val="Обычный1"/>
    <w:link w:val="Style_31"/>
    <w:rPr>
      <w:rFonts w:ascii="Times New Roman" w:hAnsi="Times New Roman"/>
      <w:sz w:val="28"/>
    </w:rPr>
  </w:style>
  <w:style w:styleId="Style_32" w:type="paragraph">
    <w:name w:val="toc 5"/>
    <w:next w:val="Style_4"/>
    <w:link w:val="Style_32_ch"/>
    <w:uiPriority w:val="39"/>
    <w:pPr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Основной шрифт абзаца1"/>
    <w:link w:val="Style_33_ch"/>
  </w:style>
  <w:style w:styleId="Style_33_ch" w:type="character">
    <w:name w:val="Основной шрифт абзаца1"/>
    <w:link w:val="Style_33"/>
  </w:style>
  <w:style w:styleId="Style_34" w:type="paragraph">
    <w:name w:val="Замещающий текст1"/>
    <w:basedOn w:val="Style_12"/>
    <w:link w:val="Style_34_ch"/>
    <w:rPr>
      <w:color w:val="808080"/>
    </w:rPr>
  </w:style>
  <w:style w:styleId="Style_34_ch" w:type="character">
    <w:name w:val="Замещающий текст1"/>
    <w:basedOn w:val="Style_12_ch"/>
    <w:link w:val="Style_34"/>
    <w:rPr>
      <w:color w:val="808080"/>
    </w:rPr>
  </w:style>
  <w:style w:styleId="Style_35" w:type="paragraph">
    <w:name w:val="Subtitle"/>
    <w:next w:val="Style_4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" w:type="table">
    <w:name w:val="Table Grid"/>
    <w:basedOn w:val="Style_8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ntTable.xml" Type="http://schemas.openxmlformats.org/officeDocument/2006/relationships/fontTable"/>
  <Relationship Id="rId1" Target="header1.xml" Type="http://schemas.openxmlformats.org/officeDocument/2006/relationships/header"/>
  <Relationship Id="rId10" Target="webSettings.xml" Type="http://schemas.openxmlformats.org/officeDocument/2006/relationships/webSetting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tyles.xml" Type="http://schemas.openxmlformats.org/officeDocument/2006/relationships/styles"/>
  <Relationship Id="rId4" Target="header4.xml" Type="http://schemas.openxmlformats.org/officeDocument/2006/relationships/header"/>
  <Relationship Id="rId11" Target="theme/theme1.xml" Type="http://schemas.openxmlformats.org/officeDocument/2006/relationships/theme"/>
  <Relationship Id="rId9" Target="stylesWithEffects.xml" Type="http://schemas.microsoft.com/office/2007/relationships/stylesWithEffects"/>
  <Relationship Id="rId7" Target="settings.xml" Type="http://schemas.openxmlformats.org/officeDocument/2006/relationships/settings"/>
  <Relationship Id="rId5" Target="footer5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2025-12-08T09:44:45Z</dcterms:modified>
</cp:coreProperties>
</file>