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168D" w:rsidRPr="00B4168D" w:rsidRDefault="00B4168D" w:rsidP="00B4168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042"/>
          <w:sz w:val="24"/>
          <w:szCs w:val="24"/>
          <w:lang w:eastAsia="ru-RU"/>
        </w:rPr>
      </w:pPr>
      <w:r w:rsidRPr="00B4168D">
        <w:rPr>
          <w:rFonts w:ascii="Arial" w:eastAsia="Times New Roman" w:hAnsi="Arial" w:cs="Arial"/>
          <w:color w:val="444042"/>
          <w:sz w:val="24"/>
          <w:szCs w:val="24"/>
          <w:lang w:eastAsia="ru-RU"/>
        </w:rPr>
        <w:t>С 1 января 2027 года сокращается перечень случаев, при которых возможен перевод в другую категорию сельскохозяйственных </w:t>
      </w:r>
      <w:r w:rsidRPr="00B4168D">
        <w:rPr>
          <w:rFonts w:ascii="Arial" w:eastAsia="Times New Roman" w:hAnsi="Arial" w:cs="Arial"/>
          <w:b/>
          <w:bCs/>
          <w:color w:val="444042"/>
          <w:sz w:val="24"/>
          <w:szCs w:val="24"/>
          <w:lang w:eastAsia="ru-RU"/>
        </w:rPr>
        <w:t>угодий </w:t>
      </w:r>
      <w:r w:rsidRPr="00B4168D">
        <w:rPr>
          <w:rFonts w:ascii="Arial" w:eastAsia="Times New Roman" w:hAnsi="Arial" w:cs="Arial"/>
          <w:color w:val="444042"/>
          <w:sz w:val="24"/>
          <w:szCs w:val="24"/>
          <w:lang w:eastAsia="ru-RU"/>
        </w:rPr>
        <w:t>(то есть, земель в составе земель сельскохозяйственного назначения, подлежащих особой охране: пашни, сенокосы, пастбища и т.д.)</w:t>
      </w:r>
    </w:p>
    <w:p w:rsidR="00B4168D" w:rsidRPr="00B4168D" w:rsidRDefault="00B4168D" w:rsidP="00B4168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042"/>
          <w:sz w:val="24"/>
          <w:szCs w:val="24"/>
          <w:lang w:eastAsia="ru-RU"/>
        </w:rPr>
      </w:pPr>
      <w:r w:rsidRPr="00B4168D">
        <w:rPr>
          <w:rFonts w:ascii="Arial" w:eastAsia="Times New Roman" w:hAnsi="Arial" w:cs="Arial"/>
          <w:color w:val="444042"/>
          <w:sz w:val="24"/>
          <w:szCs w:val="24"/>
          <w:lang w:eastAsia="ru-RU"/>
        </w:rPr>
        <w:t>Ранее ФЗ от 21 декабря 2004 года № 172-ФЗ «О переводе земель или земельных участков из одной категории в другую» (далее – «</w:t>
      </w:r>
      <w:r w:rsidRPr="00B4168D">
        <w:rPr>
          <w:rFonts w:ascii="Arial" w:eastAsia="Times New Roman" w:hAnsi="Arial" w:cs="Arial"/>
          <w:b/>
          <w:bCs/>
          <w:color w:val="444042"/>
          <w:sz w:val="24"/>
          <w:szCs w:val="24"/>
          <w:lang w:eastAsia="ru-RU"/>
        </w:rPr>
        <w:t>Закон № 172-ФЗ</w:t>
      </w:r>
      <w:r w:rsidRPr="00B4168D">
        <w:rPr>
          <w:rFonts w:ascii="Arial" w:eastAsia="Times New Roman" w:hAnsi="Arial" w:cs="Arial"/>
          <w:color w:val="444042"/>
          <w:sz w:val="24"/>
          <w:szCs w:val="24"/>
          <w:lang w:eastAsia="ru-RU"/>
        </w:rPr>
        <w:t>») для сельскохозяйственных угодий был установлен закрытый перечень оснований для их перевода. Вместе с тем такой перечень был гораздо шире, чем тот, который будет действовать после 1 января 2027 года. </w:t>
      </w:r>
    </w:p>
    <w:p w:rsidR="00B4168D" w:rsidRPr="00B4168D" w:rsidRDefault="00B4168D" w:rsidP="00B4168D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444042"/>
          <w:sz w:val="24"/>
          <w:szCs w:val="24"/>
          <w:lang w:eastAsia="ru-RU"/>
        </w:rPr>
      </w:pPr>
      <w:r w:rsidRPr="00B4168D">
        <w:rPr>
          <w:rFonts w:ascii="Arial" w:eastAsia="Times New Roman" w:hAnsi="Arial" w:cs="Arial"/>
          <w:color w:val="444042"/>
          <w:sz w:val="24"/>
          <w:szCs w:val="24"/>
          <w:lang w:eastAsia="ru-RU"/>
        </w:rPr>
        <w:t xml:space="preserve">С принятием Закона № 52-ФЗ перевод земель сельскохозяйственных угодий или земельных участков в составе таких земель из земель сельскохозяйственного назначения в другую категорию будет возможен только в случаях, связанных </w:t>
      </w:r>
      <w:proofErr w:type="gramStart"/>
      <w:r w:rsidRPr="00B4168D">
        <w:rPr>
          <w:rFonts w:ascii="Arial" w:eastAsia="Times New Roman" w:hAnsi="Arial" w:cs="Arial"/>
          <w:color w:val="444042"/>
          <w:sz w:val="24"/>
          <w:szCs w:val="24"/>
          <w:lang w:eastAsia="ru-RU"/>
        </w:rPr>
        <w:t>с</w:t>
      </w:r>
      <w:proofErr w:type="gramEnd"/>
      <w:r w:rsidRPr="00B4168D">
        <w:rPr>
          <w:rFonts w:ascii="Arial" w:eastAsia="Times New Roman" w:hAnsi="Arial" w:cs="Arial"/>
          <w:color w:val="444042"/>
          <w:sz w:val="24"/>
          <w:szCs w:val="24"/>
          <w:lang w:eastAsia="ru-RU"/>
        </w:rPr>
        <w:t>:</w:t>
      </w:r>
    </w:p>
    <w:p w:rsidR="00B4168D" w:rsidRPr="00B4168D" w:rsidRDefault="00B4168D" w:rsidP="00B4168D">
      <w:pPr>
        <w:numPr>
          <w:ilvl w:val="0"/>
          <w:numId w:val="1"/>
        </w:numPr>
        <w:shd w:val="clear" w:color="auto" w:fill="FFFFFF"/>
        <w:spacing w:after="120" w:line="240" w:lineRule="auto"/>
        <w:ind w:left="0"/>
        <w:rPr>
          <w:rFonts w:ascii="Arial" w:eastAsia="Times New Roman" w:hAnsi="Arial" w:cs="Arial"/>
          <w:color w:val="444042"/>
          <w:sz w:val="24"/>
          <w:szCs w:val="24"/>
          <w:lang w:eastAsia="ru-RU"/>
        </w:rPr>
      </w:pPr>
      <w:r w:rsidRPr="00B4168D">
        <w:rPr>
          <w:rFonts w:ascii="Arial" w:eastAsia="Times New Roman" w:hAnsi="Arial" w:cs="Arial"/>
          <w:color w:val="444042"/>
          <w:sz w:val="24"/>
          <w:szCs w:val="24"/>
          <w:lang w:eastAsia="ru-RU"/>
        </w:rPr>
        <w:t>непригодностью использования земель для сельскохозяйственного производства в связи с негативным воздействием, которое не может быть устранено путем рекультивации и при котором допускается консервация земель (п. 7 ст. 13 ЗК РФ) или в связи с загрязнением земель химическими веществами (ст. 14 ЗК РФ);</w:t>
      </w:r>
    </w:p>
    <w:p w:rsidR="00B4168D" w:rsidRPr="00B4168D" w:rsidRDefault="00B4168D" w:rsidP="00B4168D">
      <w:pPr>
        <w:numPr>
          <w:ilvl w:val="0"/>
          <w:numId w:val="1"/>
        </w:numPr>
        <w:shd w:val="clear" w:color="auto" w:fill="FFFFFF"/>
        <w:spacing w:after="120" w:line="240" w:lineRule="auto"/>
        <w:ind w:left="0"/>
        <w:rPr>
          <w:rFonts w:ascii="Arial" w:eastAsia="Times New Roman" w:hAnsi="Arial" w:cs="Arial"/>
          <w:color w:val="444042"/>
          <w:sz w:val="24"/>
          <w:szCs w:val="24"/>
          <w:lang w:eastAsia="ru-RU"/>
        </w:rPr>
      </w:pPr>
      <w:r w:rsidRPr="00B4168D">
        <w:rPr>
          <w:rFonts w:ascii="Arial" w:eastAsia="Times New Roman" w:hAnsi="Arial" w:cs="Arial"/>
          <w:color w:val="444042"/>
          <w:sz w:val="24"/>
          <w:szCs w:val="24"/>
          <w:lang w:eastAsia="ru-RU"/>
        </w:rPr>
        <w:t>созданием особо охраняемых природных территорий;</w:t>
      </w:r>
    </w:p>
    <w:p w:rsidR="00B4168D" w:rsidRPr="00B4168D" w:rsidRDefault="00B4168D" w:rsidP="00B4168D">
      <w:pPr>
        <w:numPr>
          <w:ilvl w:val="0"/>
          <w:numId w:val="1"/>
        </w:numPr>
        <w:shd w:val="clear" w:color="auto" w:fill="FFFFFF"/>
        <w:spacing w:after="120" w:line="240" w:lineRule="auto"/>
        <w:ind w:left="0"/>
        <w:rPr>
          <w:rFonts w:ascii="Arial" w:eastAsia="Times New Roman" w:hAnsi="Arial" w:cs="Arial"/>
          <w:color w:val="444042"/>
          <w:sz w:val="24"/>
          <w:szCs w:val="24"/>
          <w:lang w:eastAsia="ru-RU"/>
        </w:rPr>
      </w:pPr>
      <w:r w:rsidRPr="00B4168D">
        <w:rPr>
          <w:rFonts w:ascii="Arial" w:eastAsia="Times New Roman" w:hAnsi="Arial" w:cs="Arial"/>
          <w:color w:val="444042"/>
          <w:sz w:val="24"/>
          <w:szCs w:val="24"/>
          <w:lang w:eastAsia="ru-RU"/>
        </w:rPr>
        <w:t>установлением или изменением границ населенных пунктов;</w:t>
      </w:r>
    </w:p>
    <w:p w:rsidR="00B4168D" w:rsidRPr="00B4168D" w:rsidRDefault="00B4168D" w:rsidP="00B4168D">
      <w:pPr>
        <w:numPr>
          <w:ilvl w:val="0"/>
          <w:numId w:val="1"/>
        </w:numPr>
        <w:shd w:val="clear" w:color="auto" w:fill="FFFFFF"/>
        <w:spacing w:after="120" w:line="240" w:lineRule="auto"/>
        <w:ind w:left="0"/>
        <w:rPr>
          <w:rFonts w:ascii="Arial" w:eastAsia="Times New Roman" w:hAnsi="Arial" w:cs="Arial"/>
          <w:color w:val="444042"/>
          <w:sz w:val="24"/>
          <w:szCs w:val="24"/>
          <w:lang w:eastAsia="ru-RU"/>
        </w:rPr>
      </w:pPr>
      <w:r w:rsidRPr="00B4168D">
        <w:rPr>
          <w:rFonts w:ascii="Arial" w:eastAsia="Times New Roman" w:hAnsi="Arial" w:cs="Arial"/>
          <w:color w:val="444042"/>
          <w:sz w:val="24"/>
          <w:szCs w:val="24"/>
          <w:lang w:eastAsia="ru-RU"/>
        </w:rPr>
        <w:t>строительством / реконструкцией объектов государственного значения или объектов местного значения в случаях, предусмотренных п. 1 и 2 ст. 49 ЗК РФ;</w:t>
      </w:r>
    </w:p>
    <w:p w:rsidR="00B4168D" w:rsidRPr="00B4168D" w:rsidRDefault="00B4168D" w:rsidP="00B4168D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444042"/>
          <w:sz w:val="24"/>
          <w:szCs w:val="24"/>
          <w:lang w:eastAsia="ru-RU"/>
        </w:rPr>
      </w:pPr>
      <w:r w:rsidRPr="00B4168D">
        <w:rPr>
          <w:rFonts w:ascii="Arial" w:eastAsia="Times New Roman" w:hAnsi="Arial" w:cs="Arial"/>
          <w:color w:val="444042"/>
          <w:sz w:val="24"/>
          <w:szCs w:val="24"/>
          <w:lang w:eastAsia="ru-RU"/>
        </w:rPr>
        <w:t>добычей полезных ископаемых (</w:t>
      </w:r>
      <w:proofErr w:type="gramStart"/>
      <w:r w:rsidRPr="00B4168D">
        <w:rPr>
          <w:rFonts w:ascii="Arial" w:eastAsia="Times New Roman" w:hAnsi="Arial" w:cs="Arial"/>
          <w:color w:val="444042"/>
          <w:sz w:val="24"/>
          <w:szCs w:val="24"/>
          <w:lang w:eastAsia="ru-RU"/>
        </w:rPr>
        <w:t>кроме</w:t>
      </w:r>
      <w:proofErr w:type="gramEnd"/>
      <w:r w:rsidRPr="00B4168D">
        <w:rPr>
          <w:rFonts w:ascii="Arial" w:eastAsia="Times New Roman" w:hAnsi="Arial" w:cs="Arial"/>
          <w:color w:val="444042"/>
          <w:sz w:val="24"/>
          <w:szCs w:val="24"/>
          <w:lang w:eastAsia="ru-RU"/>
        </w:rPr>
        <w:t xml:space="preserve"> общераспространенных).</w:t>
      </w:r>
    </w:p>
    <w:p w:rsidR="00B4168D" w:rsidRPr="00B4168D" w:rsidRDefault="00B4168D" w:rsidP="00B4168D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444042"/>
          <w:sz w:val="24"/>
          <w:szCs w:val="24"/>
          <w:lang w:eastAsia="ru-RU"/>
        </w:rPr>
      </w:pPr>
      <w:r w:rsidRPr="00B4168D">
        <w:rPr>
          <w:rFonts w:ascii="Arial" w:eastAsia="Times New Roman" w:hAnsi="Arial" w:cs="Arial"/>
          <w:color w:val="444042"/>
          <w:sz w:val="24"/>
          <w:szCs w:val="24"/>
          <w:lang w:eastAsia="ru-RU"/>
        </w:rPr>
        <w:t>При этом</w:t>
      </w:r>
      <w:proofErr w:type="gramStart"/>
      <w:r w:rsidRPr="00B4168D">
        <w:rPr>
          <w:rFonts w:ascii="Arial" w:eastAsia="Times New Roman" w:hAnsi="Arial" w:cs="Arial"/>
          <w:color w:val="444042"/>
          <w:sz w:val="24"/>
          <w:szCs w:val="24"/>
          <w:lang w:eastAsia="ru-RU"/>
        </w:rPr>
        <w:t>,</w:t>
      </w:r>
      <w:proofErr w:type="gramEnd"/>
      <w:r w:rsidRPr="00B4168D">
        <w:rPr>
          <w:rFonts w:ascii="Arial" w:eastAsia="Times New Roman" w:hAnsi="Arial" w:cs="Arial"/>
          <w:color w:val="444042"/>
          <w:sz w:val="24"/>
          <w:szCs w:val="24"/>
          <w:lang w:eastAsia="ru-RU"/>
        </w:rPr>
        <w:t xml:space="preserve"> перевод земель сельскохозяйственных угодий в другую категорию по данным основаниям возможен при условии, что такие земли не включены в перечень особо ценных продуктивных сельскохозяйственных угодий.</w:t>
      </w:r>
    </w:p>
    <w:p w:rsidR="00B4168D" w:rsidRPr="00B4168D" w:rsidRDefault="00B4168D" w:rsidP="00B4168D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444042"/>
          <w:sz w:val="24"/>
          <w:szCs w:val="24"/>
          <w:lang w:eastAsia="ru-RU"/>
        </w:rPr>
      </w:pPr>
      <w:r w:rsidRPr="00B4168D">
        <w:rPr>
          <w:rFonts w:ascii="Arial" w:eastAsia="Times New Roman" w:hAnsi="Arial" w:cs="Arial"/>
          <w:color w:val="444042"/>
          <w:sz w:val="24"/>
          <w:szCs w:val="24"/>
          <w:lang w:eastAsia="ru-RU"/>
        </w:rPr>
        <w:t>Таким образом, после 1 января 2027 года, многие из действующих на настоящий момент оснований для перевода земель сельскохозяйственных угодий в другую категорию более не смогут быть использованы в качестве таковых. В частности, это относится к случаям перевода земель в связи с их отнесением к землям природоохранного, историко-культурного, рекреационного и иного особо ценного назначения; строительством линейных объектов (если они не являются объектами государственного или местного значения); размещением промышленных объектов, объектов социального, коммунально-бытового назначения, объектов здравоохранения, образования.</w:t>
      </w:r>
    </w:p>
    <w:p w:rsidR="00B4168D" w:rsidRPr="00B4168D" w:rsidRDefault="00B4168D" w:rsidP="00B4168D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444042"/>
          <w:sz w:val="24"/>
          <w:szCs w:val="24"/>
          <w:lang w:eastAsia="ru-RU"/>
        </w:rPr>
      </w:pPr>
      <w:r w:rsidRPr="00B4168D">
        <w:rPr>
          <w:rFonts w:ascii="Arial" w:eastAsia="Times New Roman" w:hAnsi="Arial" w:cs="Arial"/>
          <w:color w:val="444042"/>
          <w:sz w:val="24"/>
          <w:szCs w:val="24"/>
          <w:lang w:eastAsia="ru-RU"/>
        </w:rPr>
        <w:t>Несмотря на то, что новый перечень оснований для перевода земель сельскохозяйственных угодий в другие категории начнет действовать с 1 января 2027 года, такой перевод в целях добычи общераспространенных полезных ископаемых будет невозможен уже с 1 марта 2026 года. Это связано с тем, что законодателем было установлено неприменение положений Закона № 172-ФЗ, допускающих перевод в указанных целях, с 1 марта 2026 года. </w:t>
      </w:r>
    </w:p>
    <w:p w:rsidR="00B4168D" w:rsidRPr="00B4168D" w:rsidRDefault="00B4168D" w:rsidP="00B4168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042"/>
          <w:sz w:val="24"/>
          <w:szCs w:val="24"/>
          <w:lang w:eastAsia="ru-RU"/>
        </w:rPr>
      </w:pPr>
      <w:proofErr w:type="gramStart"/>
      <w:r w:rsidRPr="00B4168D">
        <w:rPr>
          <w:rFonts w:ascii="Arial" w:eastAsia="Times New Roman" w:hAnsi="Arial" w:cs="Arial"/>
          <w:color w:val="444042"/>
          <w:sz w:val="24"/>
          <w:szCs w:val="24"/>
          <w:lang w:eastAsia="ru-RU"/>
        </w:rPr>
        <w:t>Вместе с тем такая возможность останется доступной до 31 декабря 2033 года, если это необходимо для реализации приоритетных проектов по модернизации и расширению инфраструктуры в соответствии с Федеральным законом от 31 июля 2020 года № 254-ФЗ «Об особенностях регулирования отдельных отношений в целях реализации приоритетных проектов по модернизации и расширению инфраструктуры и о внесении изменений в отдельные законодательные акты Российской Федерации».</w:t>
      </w:r>
      <w:proofErr w:type="gramEnd"/>
    </w:p>
    <w:p w:rsidR="009D249B" w:rsidRDefault="00B4168D">
      <w:bookmarkStart w:id="0" w:name="_GoBack"/>
      <w:bookmarkEnd w:id="0"/>
    </w:p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B84685"/>
    <w:multiLevelType w:val="multilevel"/>
    <w:tmpl w:val="1EA2AFD6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514A"/>
    <w:rsid w:val="0004514A"/>
    <w:rsid w:val="0017383E"/>
    <w:rsid w:val="001E0BC0"/>
    <w:rsid w:val="0026230A"/>
    <w:rsid w:val="002E7DD8"/>
    <w:rsid w:val="00407043"/>
    <w:rsid w:val="00716B58"/>
    <w:rsid w:val="007E129D"/>
    <w:rsid w:val="009E1C0A"/>
    <w:rsid w:val="00B4168D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416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4168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416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416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88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469</Words>
  <Characters>2674</Characters>
  <Application>Microsoft Office Word</Application>
  <DocSecurity>0</DocSecurity>
  <Lines>22</Lines>
  <Paragraphs>6</Paragraphs>
  <ScaleCrop>false</ScaleCrop>
  <Company/>
  <LinksUpToDate>false</LinksUpToDate>
  <CharactersWithSpaces>3137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2025-09-23T06:59:00Z</dcterms:created>
  <dcterms:modified xsi:type="dcterms:W3CDTF">2025-09-23T06:59:00Z</dcterms:modified>
</cp:coreProperties>
</file>