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sz w:val="28"/>
          <w:szCs w:val="28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Normal"/>
        <w:ind w:left="0" w:right="0" w:firstLine="540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  <w:t>РЕСПУБЛИКА МОРДОВИЯ</w:t>
      </w:r>
    </w:p>
    <w:p>
      <w:pPr>
        <w:pStyle w:val="Normal"/>
        <w:ind w:left="0" w:right="0" w:firstLine="540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  <w:t xml:space="preserve">СОВЕТ ДЕПУТАТОВ МОРДОВСКО-КОЗЛОВСКОГО СЕЛЬСКОГО ПОСЕЛЕНИЯ АТЮРЬЕВСКОГО МУНИЦИПАЛЬНОГО РАЙОНА </w:t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bCs/>
          <w:color w:val="auto"/>
          <w:sz w:val="32"/>
          <w:szCs w:val="32"/>
          <w:lang w:val="ru-RU" w:eastAsia="ru-RU" w:bidi="ar-SA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bCs/>
          <w:color w:val="auto"/>
          <w:sz w:val="32"/>
          <w:szCs w:val="32"/>
          <w:lang w:val="ru-RU" w:eastAsia="ru-RU" w:bidi="ar-SA"/>
        </w:rPr>
        <w:t>РЕШЕНИЕ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Calibri"/>
          <w:bCs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Calibri"/>
          <w:bCs/>
          <w:color w:val="auto"/>
          <w:sz w:val="28"/>
          <w:szCs w:val="28"/>
          <w:lang w:val="ru-RU" w:eastAsia="ru-RU" w:bidi="ar-SA"/>
        </w:rPr>
      </w:r>
    </w:p>
    <w:p>
      <w:pPr>
        <w:pStyle w:val="Normal"/>
        <w:spacing w:lineRule="auto" w:line="240" w:before="0" w:after="0"/>
        <w:jc w:val="center"/>
        <w:rPr>
          <w:b/>
          <w:b/>
          <w:sz w:val="28"/>
          <w:szCs w:val="28"/>
        </w:rPr>
      </w:pPr>
      <w:r>
        <w:rPr>
          <w:rFonts w:eastAsia="Times New Roman" w:cs="Calibri"/>
          <w:b/>
          <w:bCs/>
          <w:color w:val="auto"/>
          <w:sz w:val="32"/>
          <w:szCs w:val="32"/>
          <w:lang w:val="ru-RU" w:eastAsia="ru-RU" w:bidi="ar-SA"/>
        </w:rPr>
        <w:t xml:space="preserve">от </w:t>
      </w:r>
      <w:r>
        <w:rPr>
          <w:rFonts w:eastAsia="Times New Roman" w:cs="Calibri"/>
          <w:b/>
          <w:bCs/>
          <w:color w:val="auto"/>
          <w:sz w:val="32"/>
          <w:szCs w:val="32"/>
          <w:lang w:val="ru-RU" w:eastAsia="ru-RU" w:bidi="ar-SA"/>
        </w:rPr>
        <w:t>12 февраля</w:t>
      </w:r>
      <w:r>
        <w:rPr>
          <w:rFonts w:eastAsia="Times New Roman" w:cs="Calibri"/>
          <w:b/>
          <w:bCs/>
          <w:color w:val="auto"/>
          <w:sz w:val="32"/>
          <w:szCs w:val="32"/>
          <w:lang w:val="ru-RU" w:eastAsia="ru-RU" w:bidi="ar-SA"/>
        </w:rPr>
        <w:t xml:space="preserve"> 2025 года № </w:t>
      </w:r>
      <w:r>
        <w:rPr>
          <w:rFonts w:eastAsia="Times New Roman" w:cs="Calibri"/>
          <w:b/>
          <w:bCs/>
          <w:color w:val="auto"/>
          <w:sz w:val="32"/>
          <w:szCs w:val="32"/>
          <w:lang w:val="ru-RU" w:eastAsia="ru-RU" w:bidi="ar-SA"/>
        </w:rPr>
        <w:t>72</w:t>
      </w:r>
      <w:r>
        <w:rPr>
          <w:rFonts w:eastAsia="Times New Roman" w:cs="Calibri"/>
          <w:b/>
          <w:bCs/>
          <w:color w:val="auto"/>
          <w:sz w:val="32"/>
          <w:szCs w:val="32"/>
          <w:lang w:val="ru-RU" w:eastAsia="ru-RU" w:bidi="ar-SA"/>
        </w:rPr>
        <w:t xml:space="preserve"> </w:t>
      </w:r>
    </w:p>
    <w:p>
      <w:pPr>
        <w:pStyle w:val="Style22"/>
        <w:spacing w:lineRule="auto" w:line="240" w:before="0" w:after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Style22"/>
        <w:spacing w:lineRule="auto" w:line="240" w:before="0" w:after="0"/>
        <w:jc w:val="center"/>
        <w:rPr>
          <w:b/>
          <w:b/>
          <w:sz w:val="28"/>
          <w:szCs w:val="28"/>
        </w:rPr>
      </w:pPr>
      <w:r>
        <w:rPr>
          <w:rFonts w:eastAsia="Times New Roman" w:cs="Calibri"/>
          <w:b/>
          <w:bCs/>
          <w:color w:val="auto"/>
          <w:sz w:val="32"/>
          <w:szCs w:val="32"/>
          <w:lang w:val="ru-RU" w:eastAsia="ru-RU" w:bidi="ar-SA"/>
        </w:rPr>
        <w:t>О ВНЕСЕНИИ ИЗМЕНЕНИЙ В РЕШЕНИЕ СОВЕТА ДЕПУТАТОВ ОТ 29.06.2023 № 35 «ОБ УСТАНОВЛЕНИИ СТОИМОСТИ УСЛУГ ПО ПОГРЕБЕНИЮ</w:t>
      </w:r>
      <w:r>
        <w:rPr>
          <w:rFonts w:eastAsia="Times New Roman" w:cs="Calibri"/>
          <w:b/>
          <w:bCs/>
          <w:color w:val="auto"/>
          <w:sz w:val="28"/>
          <w:szCs w:val="28"/>
          <w:lang w:val="ru-RU" w:eastAsia="ru-RU" w:bidi="ar-SA"/>
        </w:rPr>
        <w:t>»</w:t>
      </w:r>
    </w:p>
    <w:p>
      <w:pPr>
        <w:pStyle w:val="Style22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bidi w:val="0"/>
        <w:spacing w:lineRule="auto" w:line="240" w:before="0" w:after="0"/>
        <w:ind w:left="-454" w:right="0" w:firstLine="737"/>
        <w:jc w:val="both"/>
        <w:rPr>
          <w:sz w:val="28"/>
          <w:szCs w:val="28"/>
        </w:rPr>
      </w:pPr>
      <w:r>
        <w:rPr>
          <w:sz w:val="24"/>
          <w:szCs w:val="24"/>
        </w:rPr>
        <w:t xml:space="preserve">Руководствуясь Постановлением Правительства Российской Федерации от 23 января 2025 №33  </w:t>
      </w:r>
      <w:r>
        <w:rPr>
          <w:bCs/>
          <w:iCs/>
          <w:sz w:val="24"/>
          <w:szCs w:val="24"/>
          <w:lang w:val="ru-RU"/>
        </w:rPr>
        <w:t>«Об утверждении коэффициента индексации выплат, пособий и компенсаций в 2025 году»,</w:t>
      </w:r>
      <w:bookmarkStart w:id="0" w:name="_GoBack"/>
      <w:bookmarkEnd w:id="0"/>
      <w:r>
        <w:rPr>
          <w:bCs/>
          <w:iCs/>
          <w:sz w:val="24"/>
          <w:szCs w:val="24"/>
          <w:lang w:val="ru-RU"/>
        </w:rPr>
        <w:t xml:space="preserve"> </w:t>
      </w:r>
      <w:r>
        <w:rPr>
          <w:bCs/>
          <w:sz w:val="24"/>
          <w:szCs w:val="24"/>
        </w:rPr>
        <w:t xml:space="preserve">Совет депутатов Мордовско-Козловского </w:t>
      </w:r>
      <w:r>
        <w:rPr>
          <w:bCs/>
          <w:iCs/>
          <w:color w:val="auto"/>
          <w:sz w:val="24"/>
          <w:szCs w:val="24"/>
        </w:rPr>
        <w:t>сельского поселения</w:t>
      </w:r>
      <w:r>
        <w:rPr>
          <w:bCs/>
          <w:i/>
          <w:iCs/>
          <w:sz w:val="24"/>
          <w:szCs w:val="24"/>
        </w:rPr>
        <w:t xml:space="preserve"> </w:t>
      </w:r>
      <w:r>
        <w:rPr>
          <w:sz w:val="24"/>
          <w:szCs w:val="24"/>
        </w:rPr>
        <w:t>решил</w:t>
      </w:r>
      <w:r>
        <w:rPr>
          <w:bCs/>
          <w:iCs/>
          <w:sz w:val="24"/>
          <w:szCs w:val="24"/>
        </w:rPr>
        <w:t>:</w:t>
      </w:r>
    </w:p>
    <w:p>
      <w:pPr>
        <w:pStyle w:val="Style22"/>
        <w:ind w:firstLine="7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2"/>
        <w:widowControl/>
        <w:bidi w:val="0"/>
        <w:spacing w:lineRule="auto" w:line="240" w:before="0" w:after="0"/>
        <w:ind w:left="-397" w:right="0" w:hanging="0"/>
        <w:jc w:val="both"/>
        <w:rPr>
          <w:sz w:val="28"/>
          <w:szCs w:val="28"/>
        </w:rPr>
      </w:pPr>
      <w:r>
        <w:rPr>
          <w:bCs/>
          <w:iCs/>
          <w:sz w:val="24"/>
          <w:szCs w:val="24"/>
        </w:rPr>
        <w:t xml:space="preserve">       </w:t>
      </w:r>
      <w:r>
        <w:rPr>
          <w:bCs/>
          <w:iCs/>
          <w:sz w:val="24"/>
          <w:szCs w:val="24"/>
        </w:rPr>
        <w:t>Внести в решение Совета депутатов от 29.06.2023 № 35  «Об установлении стоимости услуг по погребению» следующие изменения:</w:t>
      </w:r>
    </w:p>
    <w:p>
      <w:pPr>
        <w:pStyle w:val="Normal"/>
        <w:widowControl/>
        <w:bidi w:val="0"/>
        <w:spacing w:lineRule="auto" w:line="240" w:before="0" w:after="0"/>
        <w:ind w:left="-397" w:right="0" w:hanging="0"/>
        <w:jc w:val="both"/>
        <w:rPr>
          <w:bCs/>
          <w:iCs/>
          <w:sz w:val="28"/>
          <w:szCs w:val="28"/>
        </w:rPr>
      </w:pP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>1.Установить с 1 февраля 2024 года коэффициент индексации в размере 1,095 для выплат, предусмотренных законом от 12.01.1996 №8-ФЗ.</w:t>
      </w:r>
    </w:p>
    <w:p>
      <w:pPr>
        <w:pStyle w:val="Style22"/>
        <w:widowControl/>
        <w:bidi w:val="0"/>
        <w:spacing w:lineRule="auto" w:line="240" w:before="0" w:after="0"/>
        <w:ind w:left="-454" w:right="0" w:hanging="0"/>
        <w:jc w:val="both"/>
        <w:rPr>
          <w:bCs/>
          <w:iCs/>
          <w:sz w:val="28"/>
          <w:szCs w:val="28"/>
        </w:rPr>
      </w:pP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  <w:t>2. Приложение к настоящему решению изложить в новой редакции.</w:t>
      </w:r>
    </w:p>
    <w:p>
      <w:pPr>
        <w:pStyle w:val="Normal"/>
        <w:widowControl/>
        <w:bidi w:val="0"/>
        <w:spacing w:lineRule="auto" w:line="240" w:before="0" w:after="0"/>
        <w:ind w:left="-567" w:right="0" w:hanging="0"/>
        <w:jc w:val="both"/>
        <w:rPr>
          <w:sz w:val="28"/>
          <w:szCs w:val="28"/>
        </w:rPr>
      </w:pPr>
      <w:r>
        <w:rPr>
          <w:bCs/>
          <w:iCs/>
          <w:sz w:val="24"/>
          <w:szCs w:val="24"/>
        </w:rPr>
        <w:t xml:space="preserve">    </w:t>
      </w:r>
      <w:r>
        <w:rPr>
          <w:bCs/>
          <w:iCs/>
          <w:sz w:val="24"/>
          <w:szCs w:val="24"/>
        </w:rPr>
        <w:t>3.Настоящее решение вступает в силу со дня его официального опубликования и распространяет  свое действие на правоотношения, возникшие с 1 февраля 2025 года.</w:t>
      </w:r>
    </w:p>
    <w:p>
      <w:pPr>
        <w:pStyle w:val="Style22"/>
        <w:ind w:firstLine="720"/>
        <w:rPr>
          <w:sz w:val="28"/>
          <w:szCs w:val="28"/>
        </w:rPr>
      </w:pPr>
      <w:r>
        <w:rPr>
          <w:sz w:val="28"/>
          <w:szCs w:val="28"/>
        </w:rPr>
      </w:r>
      <w:bookmarkStart w:id="1" w:name="_Hlk94786488"/>
      <w:bookmarkStart w:id="2" w:name="_Hlk94786488"/>
      <w:bookmarkEnd w:id="2"/>
    </w:p>
    <w:p>
      <w:pPr>
        <w:pStyle w:val="Style22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5103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2"/>
        <w:jc w:val="right"/>
        <w:rPr>
          <w:color w:val="FF0000"/>
          <w:sz w:val="28"/>
          <w:szCs w:val="28"/>
        </w:rPr>
      </w:pPr>
      <w:r>
        <w:rPr>
          <w:sz w:val="24"/>
          <w:szCs w:val="24"/>
        </w:rPr>
        <w:t>Глава</w:t>
      </w:r>
    </w:p>
    <w:p>
      <w:pPr>
        <w:pStyle w:val="Style22"/>
        <w:jc w:val="right"/>
        <w:rPr>
          <w:color w:val="FF0000"/>
          <w:sz w:val="28"/>
          <w:szCs w:val="28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Мордовско-Козловского </w:t>
      </w:r>
      <w:r>
        <w:rPr>
          <w:color w:val="auto"/>
          <w:sz w:val="24"/>
          <w:szCs w:val="24"/>
        </w:rPr>
        <w:t>сельского поселения</w:t>
      </w:r>
    </w:p>
    <w:p>
      <w:pPr>
        <w:pStyle w:val="Style22"/>
        <w:jc w:val="right"/>
        <w:rPr>
          <w:color w:val="FF0000"/>
          <w:sz w:val="28"/>
          <w:szCs w:val="28"/>
        </w:rPr>
      </w:pPr>
      <w:r>
        <w:rPr>
          <w:color w:val="auto"/>
          <w:sz w:val="24"/>
          <w:szCs w:val="24"/>
        </w:rPr>
        <w:t xml:space="preserve">                    </w:t>
      </w:r>
      <w:r>
        <w:rPr>
          <w:color w:val="auto"/>
          <w:sz w:val="24"/>
          <w:szCs w:val="24"/>
        </w:rPr>
        <w:t>В.Н.Шукшин</w:t>
      </w:r>
    </w:p>
    <w:p>
      <w:pPr>
        <w:pStyle w:val="Style22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2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/>
      </w:r>
    </w:p>
    <w:p>
      <w:pPr>
        <w:pStyle w:val="Style22"/>
        <w:rPr/>
      </w:pPr>
      <w:r>
        <w:rPr/>
      </w:r>
    </w:p>
    <w:p>
      <w:pPr>
        <w:pStyle w:val="Style22"/>
        <w:rPr/>
      </w:pPr>
      <w:r>
        <w:rPr/>
      </w:r>
    </w:p>
    <w:p>
      <w:pPr>
        <w:pStyle w:val="Style22"/>
        <w:rPr/>
      </w:pPr>
      <w:r>
        <w:rPr/>
      </w:r>
    </w:p>
    <w:p>
      <w:pPr>
        <w:pStyle w:val="Style22"/>
        <w:rPr/>
      </w:pPr>
      <w:r>
        <w:rPr/>
      </w:r>
    </w:p>
    <w:p>
      <w:pPr>
        <w:pStyle w:val="Style22"/>
        <w:rPr/>
      </w:pPr>
      <w:r>
        <w:rPr/>
      </w:r>
    </w:p>
    <w:p>
      <w:pPr>
        <w:pStyle w:val="Style22"/>
        <w:rPr/>
      </w:pPr>
      <w:r>
        <w:rPr/>
      </w:r>
    </w:p>
    <w:p>
      <w:pPr>
        <w:pStyle w:val="Style22"/>
        <w:rPr/>
      </w:pPr>
      <w:r>
        <w:rPr/>
      </w:r>
    </w:p>
    <w:p>
      <w:pPr>
        <w:pStyle w:val="Style22"/>
        <w:rPr/>
      </w:pPr>
      <w:r>
        <w:rPr/>
      </w:r>
    </w:p>
    <w:p>
      <w:pPr>
        <w:pStyle w:val="Style22"/>
        <w:rPr/>
      </w:pPr>
      <w:r>
        <w:rPr/>
      </w:r>
    </w:p>
    <w:p>
      <w:pPr>
        <w:pStyle w:val="Style22"/>
        <w:rPr/>
      </w:pPr>
      <w:r>
        <w:rPr/>
      </w:r>
    </w:p>
    <w:p>
      <w:pPr>
        <w:pStyle w:val="Style22"/>
        <w:rPr/>
      </w:pPr>
      <w:r>
        <w:rPr/>
      </w:r>
    </w:p>
    <w:p>
      <w:pPr>
        <w:pStyle w:val="Style22"/>
        <w:rPr/>
      </w:pPr>
      <w:r>
        <w:rPr/>
      </w:r>
    </w:p>
    <w:p>
      <w:pPr>
        <w:pStyle w:val="Style22"/>
        <w:rPr/>
      </w:pPr>
      <w:r>
        <w:rPr/>
      </w:r>
    </w:p>
    <w:p>
      <w:pPr>
        <w:pStyle w:val="Style22"/>
        <w:rPr/>
      </w:pPr>
      <w:r>
        <w:rPr/>
      </w:r>
    </w:p>
    <w:p>
      <w:pPr>
        <w:pStyle w:val="Style22"/>
        <w:rPr/>
      </w:pPr>
      <w:r>
        <w:rPr/>
      </w:r>
    </w:p>
    <w:p>
      <w:pPr>
        <w:pStyle w:val="Style22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</w:t>
      </w:r>
    </w:p>
    <w:p>
      <w:pPr>
        <w:pStyle w:val="Style22"/>
        <w:jc w:val="right"/>
        <w:rPr>
          <w:sz w:val="22"/>
          <w:szCs w:val="22"/>
        </w:rPr>
      </w:pPr>
      <w:r>
        <w:rPr>
          <w:sz w:val="24"/>
          <w:szCs w:val="24"/>
        </w:rPr>
        <w:t>Приложение к</w:t>
      </w:r>
    </w:p>
    <w:p>
      <w:pPr>
        <w:pStyle w:val="Style22"/>
        <w:jc w:val="right"/>
        <w:rPr>
          <w:sz w:val="22"/>
          <w:szCs w:val="22"/>
        </w:rPr>
      </w:pPr>
      <w:r>
        <w:rPr>
          <w:sz w:val="24"/>
          <w:szCs w:val="24"/>
        </w:rPr>
        <w:t xml:space="preserve">                                                                                        </w:t>
      </w:r>
      <w:r>
        <w:rPr>
          <w:sz w:val="24"/>
          <w:szCs w:val="24"/>
        </w:rPr>
        <w:t>решению Совета депутатов</w:t>
      </w:r>
    </w:p>
    <w:p>
      <w:pPr>
        <w:pStyle w:val="Style22"/>
        <w:jc w:val="right"/>
        <w:rPr>
          <w:color w:val="FF0000"/>
          <w:sz w:val="22"/>
          <w:szCs w:val="22"/>
        </w:rPr>
      </w:pPr>
      <w:r>
        <w:rPr>
          <w:color w:val="auto"/>
          <w:sz w:val="24"/>
          <w:szCs w:val="24"/>
        </w:rPr>
        <w:t xml:space="preserve">Мордовско-Козловского сельского поселения </w:t>
      </w:r>
    </w:p>
    <w:p>
      <w:pPr>
        <w:pStyle w:val="Style22"/>
        <w:jc w:val="right"/>
        <w:rPr>
          <w:sz w:val="22"/>
          <w:szCs w:val="22"/>
        </w:rPr>
      </w:pPr>
      <w:r>
        <w:rPr>
          <w:sz w:val="24"/>
          <w:szCs w:val="24"/>
        </w:rPr>
        <w:t xml:space="preserve">                                                                                               </w:t>
      </w:r>
      <w:r>
        <w:rPr>
          <w:sz w:val="24"/>
          <w:szCs w:val="24"/>
        </w:rPr>
        <w:t xml:space="preserve">от 29.06.2023г. № 35 </w:t>
      </w:r>
    </w:p>
    <w:p>
      <w:pPr>
        <w:pStyle w:val="Style22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2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2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Стоимость услуг, предоставляемых по гарантированному перечню</w:t>
      </w:r>
    </w:p>
    <w:p>
      <w:pPr>
        <w:pStyle w:val="Style22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услуг по погребению</w:t>
      </w:r>
    </w:p>
    <w:tbl>
      <w:tblPr>
        <w:tblStyle w:val="a6"/>
        <w:tblW w:w="95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69"/>
        <w:gridCol w:w="2124"/>
        <w:gridCol w:w="3833"/>
        <w:gridCol w:w="1695"/>
        <w:gridCol w:w="1250"/>
      </w:tblGrid>
      <w:tr>
        <w:trPr/>
        <w:tc>
          <w:tcPr>
            <w:tcW w:w="66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п/п</w:t>
            </w:r>
          </w:p>
        </w:tc>
        <w:tc>
          <w:tcPr>
            <w:tcW w:w="2124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Гарантированный перечень услуг по погребению</w:t>
            </w:r>
          </w:p>
        </w:tc>
        <w:tc>
          <w:tcPr>
            <w:tcW w:w="3833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качеству и составу предоставляемых услуг</w:t>
            </w:r>
          </w:p>
        </w:tc>
        <w:tc>
          <w:tcPr>
            <w:tcW w:w="1695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250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Стоимость (руб.)</w:t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4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833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695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50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124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документов, необходимых для погребения</w:t>
            </w:r>
          </w:p>
        </w:tc>
        <w:tc>
          <w:tcPr>
            <w:tcW w:w="3833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свидетельства о смерти</w:t>
            </w:r>
          </w:p>
        </w:tc>
        <w:tc>
          <w:tcPr>
            <w:tcW w:w="1695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оформление</w:t>
            </w:r>
          </w:p>
        </w:tc>
        <w:tc>
          <w:tcPr>
            <w:tcW w:w="1250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537,00</w:t>
            </w:r>
          </w:p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588,02</w:t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124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833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95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услуга</w:t>
            </w:r>
          </w:p>
        </w:tc>
        <w:tc>
          <w:tcPr>
            <w:tcW w:w="1250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3935,33</w:t>
            </w:r>
          </w:p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4309,19</w:t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24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том числе:</w:t>
            </w:r>
          </w:p>
        </w:tc>
        <w:tc>
          <w:tcPr>
            <w:tcW w:w="6778" w:type="dxa"/>
            <w:gridSpan w:val="3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</w:t>
            </w:r>
          </w:p>
        </w:tc>
        <w:tc>
          <w:tcPr>
            <w:tcW w:w="2124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Предоставление гроба</w:t>
            </w:r>
          </w:p>
        </w:tc>
        <w:tc>
          <w:tcPr>
            <w:tcW w:w="3833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гроб стандартный, из натуральных пиломатериалов толщиной 25-32 мм, обитый снаружи и внутри хлопчатобумажной тканью, с ножками (размер 2,0 х 0,7 х 0,7 м)</w:t>
            </w:r>
          </w:p>
        </w:tc>
        <w:tc>
          <w:tcPr>
            <w:tcW w:w="1695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гроб</w:t>
            </w:r>
          </w:p>
        </w:tc>
        <w:tc>
          <w:tcPr>
            <w:tcW w:w="1250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</w:t>
            </w:r>
          </w:p>
        </w:tc>
        <w:tc>
          <w:tcPr>
            <w:tcW w:w="2124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Доставка гроба и других предметов, необходимых для погребения</w:t>
            </w:r>
          </w:p>
        </w:tc>
        <w:tc>
          <w:tcPr>
            <w:tcW w:w="3833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на место нахождения тела (останков) умершего в назначенное время похорон и выгрузка (с подъемом предметов, необходимых для погребения, на первый этаж). В стоимость доставки гроба  и других предметов, необходимых для  погребения, входит их доставка из салона-магазина на место нахождения тела  (останков) умершего на расстояние до      км с учетом холостого пробега</w:t>
            </w:r>
          </w:p>
        </w:tc>
        <w:tc>
          <w:tcPr>
            <w:tcW w:w="1695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доставка (перевозка)</w:t>
            </w:r>
          </w:p>
        </w:tc>
        <w:tc>
          <w:tcPr>
            <w:tcW w:w="1250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124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Перевозка тела (останков) умершего на кладбище</w:t>
            </w:r>
          </w:p>
        </w:tc>
        <w:tc>
          <w:tcPr>
            <w:tcW w:w="3833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 В стоимость перевозки автокатафалком тела (останков) умершего входит перевозка от места  нахождения тела (останков) умершего до кладбища на расстояние до     км с учетом холостого пробега</w:t>
            </w:r>
          </w:p>
        </w:tc>
        <w:tc>
          <w:tcPr>
            <w:tcW w:w="1695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перевозка</w:t>
            </w:r>
          </w:p>
        </w:tc>
        <w:tc>
          <w:tcPr>
            <w:tcW w:w="1250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1618,99</w:t>
            </w:r>
          </w:p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1772,79</w:t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124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Погребение тела (останков) умершего</w:t>
            </w:r>
          </w:p>
        </w:tc>
        <w:tc>
          <w:tcPr>
            <w:tcW w:w="3833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95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погребение</w:t>
            </w:r>
          </w:p>
        </w:tc>
        <w:tc>
          <w:tcPr>
            <w:tcW w:w="1250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2278,88</w:t>
            </w:r>
          </w:p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2495,37</w:t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24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том числе:</w:t>
            </w:r>
          </w:p>
        </w:tc>
        <w:tc>
          <w:tcPr>
            <w:tcW w:w="6778" w:type="dxa"/>
            <w:gridSpan w:val="3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4.1.</w:t>
            </w:r>
          </w:p>
        </w:tc>
        <w:tc>
          <w:tcPr>
            <w:tcW w:w="2124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Рытье стандартной могилы</w:t>
            </w:r>
          </w:p>
        </w:tc>
        <w:tc>
          <w:tcPr>
            <w:tcW w:w="3833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Расчистка и разметка места могилы, рытье могилы вручную или механизированным способом с последующей доработкой вручную (размер 2,0 х 1,0 х 1,5 м)</w:t>
            </w:r>
          </w:p>
        </w:tc>
        <w:tc>
          <w:tcPr>
            <w:tcW w:w="1695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могила</w:t>
            </w:r>
          </w:p>
        </w:tc>
        <w:tc>
          <w:tcPr>
            <w:tcW w:w="1250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4.2.</w:t>
            </w:r>
          </w:p>
        </w:tc>
        <w:tc>
          <w:tcPr>
            <w:tcW w:w="2124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Захоронение</w:t>
            </w:r>
          </w:p>
        </w:tc>
        <w:tc>
          <w:tcPr>
            <w:tcW w:w="3833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Опускание гроба 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695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погребение</w:t>
            </w:r>
          </w:p>
        </w:tc>
        <w:tc>
          <w:tcPr>
            <w:tcW w:w="1250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626" w:type="dxa"/>
            <w:gridSpan w:val="3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695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погребение</w:t>
            </w:r>
          </w:p>
        </w:tc>
        <w:tc>
          <w:tcPr>
            <w:tcW w:w="1250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9165,37</w:t>
            </w:r>
          </w:p>
        </w:tc>
      </w:tr>
    </w:tbl>
    <w:p>
      <w:pPr>
        <w:pStyle w:val="Style22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22"/>
        <w:rPr/>
      </w:pPr>
      <w:r>
        <w:rPr/>
      </w:r>
    </w:p>
    <w:p>
      <w:pPr>
        <w:pStyle w:val="Style22"/>
        <w:rPr/>
      </w:pPr>
      <w:r>
        <w:rPr/>
      </w:r>
    </w:p>
    <w:p>
      <w:pPr>
        <w:pStyle w:val="Style22"/>
        <w:jc w:val="righ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next w:val="Style22"/>
    <w:qFormat/>
    <w:rsid w:val="00875d4a"/>
    <w:pPr>
      <w:widowControl/>
      <w:bidi w:val="0"/>
      <w:spacing w:lineRule="auto" w:line="240" w:before="0" w:after="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сноски Знак"/>
    <w:basedOn w:val="DefaultParagraphFont"/>
    <w:link w:val="a0"/>
    <w:qFormat/>
    <w:rsid w:val="00875d4a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5" w:customStyle="1">
    <w:name w:val="Текст выноски Знак"/>
    <w:basedOn w:val="DefaultParagraphFont"/>
    <w:link w:val="a7"/>
    <w:uiPriority w:val="99"/>
    <w:semiHidden/>
    <w:qFormat/>
    <w:rsid w:val="006f5368"/>
    <w:rPr>
      <w:rFonts w:ascii="Tahoma" w:hAnsi="Tahoma" w:eastAsia="Times New Roman" w:cs="Tahoma"/>
      <w:sz w:val="16"/>
      <w:szCs w:val="16"/>
      <w:lang w:eastAsia="ru-RU"/>
    </w:rPr>
  </w:style>
  <w:style w:type="character" w:styleId="Style16">
    <w:name w:val="Основной текст_"/>
    <w:basedOn w:val="DefaultParagraphFont"/>
    <w:qFormat/>
    <w:rPr>
      <w:rFonts w:ascii="Times New Roman" w:hAnsi="Times New Roman" w:eastAsia="Times New Roman" w:cs="Times New Roman"/>
      <w:spacing w:val="2"/>
      <w:shd w:fill="FFFFFF" w:val="clear"/>
    </w:rPr>
  </w:style>
  <w:style w:type="character" w:styleId="1">
    <w:name w:val="Основной текст1"/>
    <w:basedOn w:val="Style16"/>
    <w:qFormat/>
    <w:rPr>
      <w:rFonts w:ascii="Times New Roman" w:hAnsi="Times New Roman" w:eastAsia="Times New Roman" w:cs="Times New Roman"/>
      <w:color w:val="000000"/>
      <w:spacing w:val="2"/>
      <w:w w:val="100"/>
      <w:sz w:val="24"/>
      <w:szCs w:val="24"/>
      <w:shd w:fill="FFFFFF" w:val="clear"/>
      <w:lang w:val="ru-RU" w:eastAsia="ru-RU" w:bidi="ru-RU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Footnote Text"/>
    <w:basedOn w:val="Normal"/>
    <w:link w:val="a4"/>
    <w:unhideWhenUsed/>
    <w:rsid w:val="00875d4a"/>
    <w:pPr/>
    <w:rPr>
      <w:szCs w:val="20"/>
    </w:rPr>
  </w:style>
  <w:style w:type="paragraph" w:styleId="ListParagraph">
    <w:name w:val="List Paragraph"/>
    <w:basedOn w:val="Normal"/>
    <w:uiPriority w:val="34"/>
    <w:qFormat/>
    <w:rsid w:val="00d8564f"/>
    <w:pPr>
      <w:spacing w:before="0" w:after="0"/>
      <w:ind w:left="720" w:hanging="0"/>
      <w:contextualSpacing/>
    </w:pPr>
    <w:rPr/>
  </w:style>
  <w:style w:type="paragraph" w:styleId="BalloonText">
    <w:name w:val="Balloon Text"/>
    <w:basedOn w:val="Normal"/>
    <w:link w:val="a8"/>
    <w:uiPriority w:val="99"/>
    <w:semiHidden/>
    <w:unhideWhenUsed/>
    <w:qFormat/>
    <w:rsid w:val="006f5368"/>
    <w:pPr/>
    <w:rPr>
      <w:rFonts w:ascii="Tahoma" w:hAnsi="Tahoma" w:cs="Tahoma"/>
      <w:sz w:val="16"/>
      <w:szCs w:val="16"/>
    </w:rPr>
  </w:style>
  <w:style w:type="paragraph" w:styleId="4">
    <w:name w:val="Основной текст4"/>
    <w:basedOn w:val="Normal"/>
    <w:qFormat/>
    <w:pPr>
      <w:widowControl w:val="false"/>
      <w:shd w:val="clear" w:color="auto" w:fill="FFFFFF"/>
      <w:spacing w:lineRule="auto" w:line="240" w:before="0" w:after="300"/>
      <w:ind w:hanging="460"/>
      <w:jc w:val="center"/>
    </w:pPr>
    <w:rPr>
      <w:spacing w:val="2"/>
      <w:sz w:val="22"/>
      <w:szCs w:val="22"/>
      <w:lang w:eastAsia="en-US"/>
    </w:rPr>
  </w:style>
  <w:style w:type="paragraph" w:styleId="Style23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2"/>
    <w:uiPriority w:val="59"/>
    <w:rsid w:val="00e423eb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EF1CB-E4EF-49CF-B22C-8BB2712FD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Application>LibreOffice/6.4.0.3$Windows_X86_64 LibreOffice_project/b0a288ab3d2d4774cb44b62f04d5d28733ac6df8</Application>
  <Pages>3</Pages>
  <Words>483</Words>
  <Characters>3129</Characters>
  <CharactersWithSpaces>3974</CharactersWithSpaces>
  <Paragraphs>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2023-05-31T13:44:00Z</dcterms:created>
  <dc:creator>Buh</dc:creator>
  <dc:description/>
  <dc:language>ru-RU</dc:language>
  <cp:lastModifiedBy/>
  <cp:lastPrinted>2025-02-12T09:31:54Z</cp:lastPrinted>
  <dcterms:modified xsi:type="dcterms:W3CDTF">2025-02-12T09:32:01Z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