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2278" w:rsidRDefault="00E92278" w:rsidP="00E92278"/>
    <w:p w:rsidR="00E92278" w:rsidRPr="00885FD2" w:rsidRDefault="00E92278" w:rsidP="00E92278">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r w:rsidRPr="00885FD2">
        <w:rPr>
          <w:rFonts w:ascii="Times New Roman" w:eastAsia="Times New Roman" w:hAnsi="Times New Roman" w:cs="Times New Roman"/>
          <w:b/>
          <w:bCs/>
          <w:sz w:val="28"/>
          <w:szCs w:val="28"/>
          <w:lang w:eastAsia="ru-RU"/>
        </w:rPr>
        <w:t>Ответственность за экстремизм</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
          <w:bCs/>
          <w:sz w:val="28"/>
          <w:szCs w:val="28"/>
          <w:lang w:eastAsia="ru-RU"/>
        </w:rPr>
      </w:pP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 xml:space="preserve">На основании ст. 15 Закона о противодействии экстремизму </w:t>
      </w:r>
      <w:r w:rsidRPr="00885FD2">
        <w:rPr>
          <w:rFonts w:ascii="Times New Roman" w:eastAsia="Times New Roman" w:hAnsi="Times New Roman" w:cs="Times New Roman"/>
          <w:bCs/>
          <w:sz w:val="28"/>
          <w:szCs w:val="28"/>
          <w:lang w:eastAsia="ru-RU"/>
        </w:rPr>
        <w:br/>
        <w:t>за осуществление экстремистской деятельности граждане Российской Федерации, иностранные граждане и лица без гражданства несут уголовную, административную и гражданско-правовую ответственность.</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Статьей 20.3 КоАП РФ предусмотрена административная ответственность за пропаганду либо публичное демонстрирование нацистской атрибутики или символики, а также за изготовление или сбыт в целях пропаганды либо приобретение в целях сбыта или пропаганды указанной атрибутики или символики.</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 xml:space="preserve">Статьей 20.29 КоАП РФ предусмотрена административная ответственность за массовое распространение экстремистских материалов, включенных в опубликованный федеральный список экстремистских материалов. </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 xml:space="preserve">В Уголовном кодексе Российской Федерации, в частности, указаны следующие составы преступлений экстремистской направленности: </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 xml:space="preserve">- публичные призывы (т.е. обращения к другим лицам в любой форме) </w:t>
      </w:r>
      <w:r w:rsidRPr="00885FD2">
        <w:rPr>
          <w:rFonts w:ascii="Times New Roman" w:eastAsia="Times New Roman" w:hAnsi="Times New Roman" w:cs="Times New Roman"/>
          <w:bCs/>
          <w:sz w:val="28"/>
          <w:szCs w:val="28"/>
          <w:lang w:eastAsia="ru-RU"/>
        </w:rPr>
        <w:br/>
        <w:t xml:space="preserve">к осуществлению экстремистской деятельности (ст. 280 УК РФ); </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 xml:space="preserve">- публичные призывы к осуществлению действий, направленных </w:t>
      </w:r>
      <w:r w:rsidRPr="00885FD2">
        <w:rPr>
          <w:rFonts w:ascii="Times New Roman" w:eastAsia="Times New Roman" w:hAnsi="Times New Roman" w:cs="Times New Roman"/>
          <w:bCs/>
          <w:sz w:val="28"/>
          <w:szCs w:val="28"/>
          <w:lang w:eastAsia="ru-RU"/>
        </w:rPr>
        <w:br/>
        <w:t xml:space="preserve">на нарушение территориальной целостности Российской Федерации (ст. 280.1 УК РФ); </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 xml:space="preserve">- действия (например, высказывания о необходимости противоправных действий),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(ч. 1 ст. 282 УК РФ); </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 xml:space="preserve">- финансирование экстремистской деятельности (ст. 282.3 УК РФ); </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 xml:space="preserve">- неоднократные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(ст. 282.4 УК РФ). </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 xml:space="preserve">Также, на основании п. «е» ч. 1 ст. 63 УК РФ совершение преступления по мотивам политической, идеологической, расовой, национальной или религиозной </w:t>
      </w:r>
      <w:proofErr w:type="gramStart"/>
      <w:r w:rsidRPr="00885FD2">
        <w:rPr>
          <w:rFonts w:ascii="Times New Roman" w:eastAsia="Times New Roman" w:hAnsi="Times New Roman" w:cs="Times New Roman"/>
          <w:bCs/>
          <w:sz w:val="28"/>
          <w:szCs w:val="28"/>
          <w:lang w:eastAsia="ru-RU"/>
        </w:rPr>
        <w:t>ненависти</w:t>
      </w:r>
      <w:proofErr w:type="gramEnd"/>
      <w:r w:rsidRPr="00885FD2">
        <w:rPr>
          <w:rFonts w:ascii="Times New Roman" w:eastAsia="Times New Roman" w:hAnsi="Times New Roman" w:cs="Times New Roman"/>
          <w:bCs/>
          <w:sz w:val="28"/>
          <w:szCs w:val="28"/>
          <w:lang w:eastAsia="ru-RU"/>
        </w:rPr>
        <w:t xml:space="preserve"> или вражды либо по мотивам ненависти или вражды в отношении какой-либо социальной группы признается обстоятельством, отягчающим наказание. </w:t>
      </w:r>
    </w:p>
    <w:p w:rsidR="00E92278" w:rsidRDefault="00E92278" w:rsidP="00E92278">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p>
    <w:p w:rsidR="0007006D" w:rsidRDefault="0007006D" w:rsidP="00E92278">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p>
    <w:p w:rsidR="0007006D" w:rsidRDefault="0007006D" w:rsidP="00E92278">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p>
    <w:p w:rsidR="00E92278" w:rsidRPr="00885FD2" w:rsidRDefault="00E92278" w:rsidP="00E92278">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bookmarkStart w:id="0" w:name="_GoBack"/>
      <w:bookmarkEnd w:id="0"/>
      <w:r w:rsidRPr="00885FD2">
        <w:rPr>
          <w:rFonts w:ascii="Times New Roman" w:eastAsia="Times New Roman" w:hAnsi="Times New Roman" w:cs="Times New Roman"/>
          <w:b/>
          <w:bCs/>
          <w:sz w:val="28"/>
          <w:szCs w:val="28"/>
          <w:lang w:eastAsia="ru-RU"/>
        </w:rPr>
        <w:lastRenderedPageBreak/>
        <w:t>В перечень показаний и противопоказаний для обеспечения инвалидов техническими средствами реабилитации включены новые средства реабилитации</w:t>
      </w:r>
    </w:p>
    <w:p w:rsidR="00E92278" w:rsidRPr="00885FD2" w:rsidRDefault="00E92278" w:rsidP="00E92278">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 xml:space="preserve">С 25 августа 2024 года вступил в силу приказ Минтруда России </w:t>
      </w:r>
      <w:r w:rsidRPr="00885FD2">
        <w:rPr>
          <w:rFonts w:ascii="Times New Roman" w:eastAsia="Times New Roman" w:hAnsi="Times New Roman" w:cs="Times New Roman"/>
          <w:bCs/>
          <w:sz w:val="28"/>
          <w:szCs w:val="28"/>
          <w:lang w:eastAsia="ru-RU"/>
        </w:rPr>
        <w:br/>
        <w:t xml:space="preserve">от 10.07.2024 № </w:t>
      </w:r>
      <w:proofErr w:type="spellStart"/>
      <w:r w:rsidRPr="00885FD2">
        <w:rPr>
          <w:rFonts w:ascii="Times New Roman" w:eastAsia="Times New Roman" w:hAnsi="Times New Roman" w:cs="Times New Roman"/>
          <w:bCs/>
          <w:sz w:val="28"/>
          <w:szCs w:val="28"/>
          <w:lang w:eastAsia="ru-RU"/>
        </w:rPr>
        <w:t>346н</w:t>
      </w:r>
      <w:proofErr w:type="spellEnd"/>
      <w:r w:rsidRPr="00885FD2">
        <w:rPr>
          <w:rFonts w:ascii="Times New Roman" w:eastAsia="Times New Roman" w:hAnsi="Times New Roman" w:cs="Times New Roman"/>
          <w:bCs/>
          <w:sz w:val="28"/>
          <w:szCs w:val="28"/>
          <w:lang w:eastAsia="ru-RU"/>
        </w:rPr>
        <w:t xml:space="preserve"> «О внесении изменений в некоторые нормативные правовые акты Министерства труда и социальной защиты Российской Федерации по вопросам обеспечения инвалидов техническими средствами реабилитации» (далее – Приказ № </w:t>
      </w:r>
      <w:proofErr w:type="spellStart"/>
      <w:r w:rsidRPr="00885FD2">
        <w:rPr>
          <w:rFonts w:ascii="Times New Roman" w:eastAsia="Times New Roman" w:hAnsi="Times New Roman" w:cs="Times New Roman"/>
          <w:bCs/>
          <w:sz w:val="28"/>
          <w:szCs w:val="28"/>
          <w:lang w:eastAsia="ru-RU"/>
        </w:rPr>
        <w:t>346н</w:t>
      </w:r>
      <w:proofErr w:type="spellEnd"/>
      <w:r w:rsidRPr="00885FD2">
        <w:rPr>
          <w:rFonts w:ascii="Times New Roman" w:eastAsia="Times New Roman" w:hAnsi="Times New Roman" w:cs="Times New Roman"/>
          <w:bCs/>
          <w:sz w:val="28"/>
          <w:szCs w:val="28"/>
          <w:lang w:eastAsia="ru-RU"/>
        </w:rPr>
        <w:t>).</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В Перечне показаний и противопоказаний для обеспечения инвалидов техническими средствами реабилитации детализированы наименования ходунков шагающих, на колесах, с опорой на предплечье, с подмышечной опорой, ходунков-</w:t>
      </w:r>
      <w:proofErr w:type="spellStart"/>
      <w:r w:rsidRPr="00885FD2">
        <w:rPr>
          <w:rFonts w:ascii="Times New Roman" w:eastAsia="Times New Roman" w:hAnsi="Times New Roman" w:cs="Times New Roman"/>
          <w:bCs/>
          <w:sz w:val="28"/>
          <w:szCs w:val="28"/>
          <w:lang w:eastAsia="ru-RU"/>
        </w:rPr>
        <w:t>роллаторов</w:t>
      </w:r>
      <w:proofErr w:type="spellEnd"/>
      <w:r w:rsidRPr="00885FD2">
        <w:rPr>
          <w:rFonts w:ascii="Times New Roman" w:eastAsia="Times New Roman" w:hAnsi="Times New Roman" w:cs="Times New Roman"/>
          <w:bCs/>
          <w:sz w:val="28"/>
          <w:szCs w:val="28"/>
          <w:lang w:eastAsia="ru-RU"/>
        </w:rPr>
        <w:t>, а также с дополнительной фиксацией (поддержкой) тела, в том числе, для больных детским церебральным параличом (</w:t>
      </w:r>
      <w:proofErr w:type="spellStart"/>
      <w:r w:rsidRPr="00885FD2">
        <w:rPr>
          <w:rFonts w:ascii="Times New Roman" w:eastAsia="Times New Roman" w:hAnsi="Times New Roman" w:cs="Times New Roman"/>
          <w:bCs/>
          <w:sz w:val="28"/>
          <w:szCs w:val="28"/>
          <w:lang w:eastAsia="ru-RU"/>
        </w:rPr>
        <w:t>ДЦП</w:t>
      </w:r>
      <w:proofErr w:type="spellEnd"/>
      <w:r w:rsidRPr="00885FD2">
        <w:rPr>
          <w:rFonts w:ascii="Times New Roman" w:eastAsia="Times New Roman" w:hAnsi="Times New Roman" w:cs="Times New Roman"/>
          <w:bCs/>
          <w:sz w:val="28"/>
          <w:szCs w:val="28"/>
          <w:lang w:eastAsia="ru-RU"/>
        </w:rPr>
        <w:t>) дополнительными формулировками, позиционированными под отдельными кодами.</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 xml:space="preserve">Введены дополнительные наименования кресел-колясок для инвалидов </w:t>
      </w:r>
      <w:r w:rsidRPr="00885FD2">
        <w:rPr>
          <w:rFonts w:ascii="Times New Roman" w:eastAsia="Times New Roman" w:hAnsi="Times New Roman" w:cs="Times New Roman"/>
          <w:bCs/>
          <w:sz w:val="28"/>
          <w:szCs w:val="28"/>
          <w:lang w:eastAsia="ru-RU"/>
        </w:rPr>
        <w:br/>
        <w:t xml:space="preserve">и детей-инвалидов прогулочных и комнатных под отдельными кодами, а также дополнительно детализированы кресла-коляски активного типа, с электроприводом, в том числе для больных </w:t>
      </w:r>
      <w:proofErr w:type="spellStart"/>
      <w:r w:rsidRPr="00885FD2">
        <w:rPr>
          <w:rFonts w:ascii="Times New Roman" w:eastAsia="Times New Roman" w:hAnsi="Times New Roman" w:cs="Times New Roman"/>
          <w:bCs/>
          <w:sz w:val="28"/>
          <w:szCs w:val="28"/>
          <w:lang w:eastAsia="ru-RU"/>
        </w:rPr>
        <w:t>ДЦП</w:t>
      </w:r>
      <w:proofErr w:type="spellEnd"/>
      <w:r w:rsidRPr="00885FD2">
        <w:rPr>
          <w:rFonts w:ascii="Times New Roman" w:eastAsia="Times New Roman" w:hAnsi="Times New Roman" w:cs="Times New Roman"/>
          <w:bCs/>
          <w:sz w:val="28"/>
          <w:szCs w:val="28"/>
          <w:lang w:eastAsia="ru-RU"/>
        </w:rPr>
        <w:t>, в зависимости от их предназначения и конструктивных особенностей.</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 xml:space="preserve">Определены дополнительные параметры к опорам для детей-инвалидов, для специальной одежды. </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 xml:space="preserve">В общих разъяснениях к разделу «кресла-коляски активного типа (для инвалидов и детей-инвалидов» уточнен перечень определяемых в индивидуальной программе реабилитации или </w:t>
      </w:r>
      <w:proofErr w:type="spellStart"/>
      <w:r w:rsidRPr="00885FD2">
        <w:rPr>
          <w:rFonts w:ascii="Times New Roman" w:eastAsia="Times New Roman" w:hAnsi="Times New Roman" w:cs="Times New Roman"/>
          <w:bCs/>
          <w:sz w:val="28"/>
          <w:szCs w:val="28"/>
          <w:lang w:eastAsia="ru-RU"/>
        </w:rPr>
        <w:t>абилитации</w:t>
      </w:r>
      <w:proofErr w:type="spellEnd"/>
      <w:r w:rsidRPr="00885FD2">
        <w:rPr>
          <w:rFonts w:ascii="Times New Roman" w:eastAsia="Times New Roman" w:hAnsi="Times New Roman" w:cs="Times New Roman"/>
          <w:bCs/>
          <w:sz w:val="28"/>
          <w:szCs w:val="28"/>
          <w:lang w:eastAsia="ru-RU"/>
        </w:rPr>
        <w:t xml:space="preserve"> допустимых значений к параметрам соответствующих видов изделий.</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Скорректированы относительные медицинские противопоказания для обеспечения инвалидов и детей-инвалидов ходунками, а также опорами для стояния для детей-инвалидов.</w:t>
      </w:r>
    </w:p>
    <w:p w:rsidR="00E92278" w:rsidRDefault="00E92278" w:rsidP="00E92278"/>
    <w:p w:rsidR="0072587D" w:rsidRDefault="0072587D"/>
    <w:sectPr w:rsidR="007258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0743DC"/>
    <w:multiLevelType w:val="hybridMultilevel"/>
    <w:tmpl w:val="5F8AAE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278"/>
    <w:rsid w:val="0007006D"/>
    <w:rsid w:val="0072587D"/>
    <w:rsid w:val="00E922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496A1C-F14B-4F1E-A29E-6087531F6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227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922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573</Words>
  <Characters>3270</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2024-09-17T07:13:00Z</dcterms:created>
  <dcterms:modified xsi:type="dcterms:W3CDTF">2024-09-17T07:21:00Z</dcterms:modified>
</cp:coreProperties>
</file>