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9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media/image16.jpeg" ContentType="image/jpeg"/>
  <Override PartName="/word/media/image17.jpeg" ContentType="image/jpeg"/>
  <Override PartName="/word/media/image18.jpeg" ContentType="image/jpeg"/>
  <Override PartName="/word/media/image19.jpeg" ContentType="image/jpeg"/>
  <Override PartName="/word/media/image20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tru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32"/>
          <w:szCs w:val="32"/>
        </w:rPr>
        <w:t>ПРОЕКТ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32"/>
          <w:szCs w:val="32"/>
        </w:rPr>
        <w:t>РЕСПУБЛИКА МОРДОВИЯ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СОВЕТ ДЕПУТАТОВ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>МОРДОВСКО-КОЗЛОВСКОГО СЕ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ЛЬСКОГО ПОСЕЛЕНИЯ АТЮРЬЕВСКОГО МУНИЦИПАЛЬНОГО РАЙОНА 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</w:rPr>
        <w:t>РЕШЕНИЕ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 xml:space="preserve">                                                                      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 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32"/>
          <w:szCs w:val="32"/>
        </w:rPr>
        <w:t xml:space="preserve">от       2024 года №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Calibri"/>
          <w:b/>
          <w:b/>
          <w:bCs/>
          <w:sz w:val="32"/>
          <w:szCs w:val="32"/>
          <w:lang w:eastAsia="ru-RU"/>
        </w:rPr>
      </w:pPr>
      <w:r>
        <w:rPr>
          <w:rFonts w:eastAsia="Times New Roman" w:cs="Calibri" w:ascii="Times New Roman" w:hAnsi="Times New Roman"/>
          <w:b/>
          <w:bCs/>
          <w:sz w:val="32"/>
          <w:szCs w:val="32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Calibri" w:ascii="Times New Roman" w:hAnsi="Times New Roman"/>
          <w:b/>
          <w:bCs/>
          <w:sz w:val="32"/>
          <w:szCs w:val="32"/>
          <w:lang w:eastAsia="ru-RU"/>
        </w:rPr>
        <w:t xml:space="preserve">О ВНЕСЕНИИ ИЗМЕНЕНИЙ В РЕШЕНИЕ СОВЕТА ДЕПУТАТОВ </w:t>
      </w: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МОРДОВСКО-КОЗЛОВСКОГО</w:t>
      </w:r>
      <w:r>
        <w:rPr>
          <w:rFonts w:eastAsia="Times New Roman" w:cs="Calibri" w:ascii="Times New Roman" w:hAnsi="Times New Roman"/>
          <w:b/>
          <w:bCs/>
          <w:sz w:val="32"/>
          <w:szCs w:val="32"/>
          <w:lang w:eastAsia="ru-RU"/>
        </w:rPr>
        <w:t xml:space="preserve"> СЕЛЬСКОГО ПОСЕЛЕНИЯ АТЮРЬЕВСКОГО МУНИЦИПАЛЬНОГО РАЙОНА РЕСПУБЛИКИ МОРДОВИЯ ОТ 24.11.2014 ГОДА № </w:t>
      </w:r>
      <w:r>
        <w:rPr>
          <w:rFonts w:eastAsia="Times New Roman" w:cs="Calibri" w:ascii="Times New Roman" w:hAnsi="Times New Roman"/>
          <w:b/>
          <w:bCs/>
          <w:sz w:val="32"/>
          <w:szCs w:val="32"/>
          <w:lang w:eastAsia="ru-RU"/>
        </w:rPr>
        <w:t>75</w:t>
      </w:r>
      <w:r>
        <w:rPr>
          <w:rFonts w:eastAsia="Times New Roman" w:cs="Calibri" w:ascii="Times New Roman" w:hAnsi="Times New Roman"/>
          <w:b/>
          <w:bCs/>
          <w:sz w:val="32"/>
          <w:szCs w:val="32"/>
          <w:lang w:eastAsia="ru-RU"/>
        </w:rPr>
        <w:t xml:space="preserve"> «О НАЛОГ</w:t>
      </w:r>
      <w:r>
        <w:rPr>
          <w:rFonts w:eastAsia="Times New Roman" w:cs="Calibri" w:ascii="Times New Roman" w:hAnsi="Times New Roman"/>
          <w:b/>
          <w:bCs/>
          <w:sz w:val="32"/>
          <w:szCs w:val="32"/>
          <w:lang w:eastAsia="ru-RU"/>
        </w:rPr>
        <w:t>Е</w:t>
      </w:r>
      <w:r>
        <w:rPr>
          <w:rFonts w:eastAsia="Times New Roman" w:cs="Calibri" w:ascii="Times New Roman" w:hAnsi="Times New Roman"/>
          <w:b/>
          <w:bCs/>
          <w:sz w:val="32"/>
          <w:szCs w:val="32"/>
          <w:lang w:eastAsia="ru-RU"/>
        </w:rPr>
        <w:t xml:space="preserve"> НА ИМУЩЕСТВО ФИЗИЧЕСКИХ ЛИЦ</w:t>
      </w:r>
      <w:r>
        <w:rPr>
          <w:rFonts w:eastAsia="Times New Roman" w:cs="Calibri" w:ascii="Times New Roman" w:hAnsi="Times New Roman"/>
          <w:b/>
          <w:bCs/>
          <w:sz w:val="28"/>
          <w:szCs w:val="28"/>
          <w:lang w:eastAsia="ru-RU"/>
        </w:rPr>
        <w:t>»</w:t>
      </w:r>
    </w:p>
    <w:p>
      <w:pPr>
        <w:pStyle w:val="Normal"/>
        <w:spacing w:lineRule="auto" w:line="264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 соответствии с главой 32 Налогового кодекса Российской Федерации Совет депутатов Мордовско-Козловского сельского поселения решил:</w:t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/>
        <w:drawing>
          <wp:inline distT="0" distB="0" distL="0" distR="0">
            <wp:extent cx="14605" cy="19050"/>
            <wp:effectExtent l="0" t="0" r="0" b="0"/>
            <wp:docPr id="1" name="Picture 2017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017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1. Внести в решение Совета депутатов Мордовско-Козловского сельского поселения от 24.11.2014 №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75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«О налоге на имущество физических лиц» изменение, дополнив пунктом следующего содержания:</w:t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«3.1.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Физические лица - в отношении объектов недвижимого </w:t>
      </w:r>
      <w:r>
        <w:rPr/>
        <w:drawing>
          <wp:inline distT="0" distB="0" distL="0" distR="0">
            <wp:extent cx="14605" cy="14605"/>
            <wp:effectExtent l="0" t="0" r="0" b="0"/>
            <wp:docPr id="2" name="Picture 683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83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имущества, подлежащих налогообложению исходя из кадастровой стоимости и указанных в подпункте  2 пункта 2 Решения Совета депутатов от 24.11.2014 №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75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«О налоге на имущество физических лиц», включенных в перечень,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(за исключением гаражей и машино-мест, расположенных в таких объектах налогообложения), в случае превышения величины кадастровой стоимости таких объектов недвижимого имущества, </w:t>
      </w:r>
      <w:r>
        <w:rPr/>
        <w:drawing>
          <wp:inline distT="0" distB="0" distL="0" distR="0">
            <wp:extent cx="14605" cy="76200"/>
            <wp:effectExtent l="0" t="0" r="0" b="0"/>
            <wp:docPr id="3" name="Picture 2018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018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внесенной в Единый государственный реестр недвижимости и подлежащей применению с 1 января 2024 года, над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годов».</w:t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Налоговая льгота, предусмотренная в части третьей Решения Совета депутатов от 24.11.2014 №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75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«О налоге на имущество физических лиц», предоставляется при соблюдении условия:</w:t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за налоговый период 2024 года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</w:t>
      </w:r>
      <w:r>
        <w:rPr/>
        <w:drawing>
          <wp:inline distT="0" distB="0" distL="0" distR="0">
            <wp:extent cx="14605" cy="14605"/>
            <wp:effectExtent l="0" t="0" r="0" b="0"/>
            <wp:docPr id="4" name="Picture 684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6842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с января года налогового периода, превышает на 40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</w:t>
      </w:r>
      <w:r>
        <w:rPr/>
        <w:drawing>
          <wp:inline distT="0" distB="0" distL="0" distR="0">
            <wp:extent cx="14605" cy="14605"/>
            <wp:effectExtent l="0" t="0" r="0" b="0"/>
            <wp:docPr id="5" name="Picture 684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84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1 января 2023 года;</w:t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за налоговый период 2025 года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70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 за налоговый период 2026 года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</w:t>
      </w:r>
      <w:r>
        <w:rPr/>
        <w:drawing>
          <wp:inline distT="0" distB="0" distL="0" distR="0">
            <wp:extent cx="14605" cy="14605"/>
            <wp:effectExtent l="0" t="0" r="0" b="0"/>
            <wp:docPr id="6" name="Picture 906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9060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государственный реестр недвижимости и подлежащей применению с 1 января года налогового периода, превышает на 100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</w:t>
      </w:r>
      <w:r>
        <w:rPr/>
        <w:drawing>
          <wp:inline distT="0" distB="0" distL="0" distR="0">
            <wp:extent cx="14605" cy="14605"/>
            <wp:effectExtent l="0" t="0" r="0" b="0"/>
            <wp:docPr id="7" name="Picture 906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9061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1 января 2023 года.</w:t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drawing>
          <wp:anchor behindDoc="0" distT="0" distB="0" distL="114300" distR="114300" simplePos="0" locked="0" layoutInCell="1" allowOverlap="1" relativeHeight="2">
            <wp:simplePos x="0" y="0"/>
            <wp:positionH relativeFrom="page">
              <wp:posOffset>7045960</wp:posOffset>
            </wp:positionH>
            <wp:positionV relativeFrom="page">
              <wp:posOffset>9794240</wp:posOffset>
            </wp:positionV>
            <wp:extent cx="14605" cy="14605"/>
            <wp:effectExtent l="0" t="0" r="0" b="0"/>
            <wp:wrapSquare wrapText="bothSides"/>
            <wp:docPr id="8" name="Picture 906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9067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Налоговая льгота предоставляется в виде уменьшения суммы налога</w:t>
        <w:br/>
        <w:t xml:space="preserve">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 2025 и 2026 годов </w:t>
        <w:br/>
        <w:t>по следующим формулам: за налоговый период 2024 года:</w:t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tabs>
          <w:tab w:val="clear" w:pos="708"/>
          <w:tab w:val="center" w:pos="815" w:leader="none"/>
          <w:tab w:val="center" w:pos="2938" w:leader="none"/>
        </w:tabs>
        <w:spacing w:lineRule="auto" w:line="264" w:before="0" w:after="0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   </w:t>
      </w:r>
      <w:r>
        <w:rPr/>
        <w:drawing>
          <wp:inline distT="0" distB="0" distL="0" distR="0">
            <wp:extent cx="14605" cy="14605"/>
            <wp:effectExtent l="0" t="0" r="0" b="0"/>
            <wp:docPr id="9" name="Рисунок 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21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ab/>
        <w:t>(Н2024 - Н2О2З х 1,4)</w:t>
      </w:r>
    </w:p>
    <w:p>
      <w:pPr>
        <w:pStyle w:val="Normal"/>
        <w:spacing w:lineRule="auto" w:line="264" w:before="0" w:after="0"/>
        <w:ind w:left="743" w:hanging="10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НЛ =</w:t>
      </w:r>
      <w:r>
        <w:rPr/>
        <w:drawing>
          <wp:inline distT="0" distB="0" distL="0" distR="0">
            <wp:extent cx="2524125" cy="161925"/>
            <wp:effectExtent l="0" t="0" r="0" b="0"/>
            <wp:docPr id="10" name="Рисунок 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2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keepNext w:val="true"/>
        <w:keepLines/>
        <w:numPr>
          <w:ilvl w:val="0"/>
          <w:numId w:val="0"/>
        </w:numPr>
        <w:spacing w:before="0" w:after="189"/>
        <w:ind w:left="2812" w:hanging="0"/>
        <w:outlineLvl w:val="1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12</w:t>
      </w:r>
    </w:p>
    <w:p>
      <w:pPr>
        <w:pStyle w:val="Normal"/>
        <w:spacing w:lineRule="auto" w:line="247" w:before="0" w:after="4"/>
        <w:ind w:left="741" w:right="7" w:hanging="0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за налоговый период 2025 года:</w:t>
      </w:r>
    </w:p>
    <w:p>
      <w:pPr>
        <w:pStyle w:val="Normal"/>
        <w:spacing w:lineRule="auto" w:line="264" w:before="0" w:after="0"/>
        <w:ind w:left="1527" w:hanging="10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$2025 - Н2О2З х 1,7)</w:t>
      </w:r>
    </w:p>
    <w:p>
      <w:pPr>
        <w:pStyle w:val="Normal"/>
        <w:spacing w:lineRule="auto" w:line="264" w:before="0" w:after="0"/>
        <w:ind w:left="743" w:hanging="10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НЛ =</w:t>
      </w:r>
      <w:r>
        <w:rPr/>
        <w:drawing>
          <wp:inline distT="0" distB="0" distL="0" distR="0">
            <wp:extent cx="2533650" cy="161925"/>
            <wp:effectExtent l="0" t="0" r="0" b="0"/>
            <wp:docPr id="11" name="Рисунок 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9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keepNext w:val="true"/>
        <w:keepLines/>
        <w:numPr>
          <w:ilvl w:val="0"/>
          <w:numId w:val="0"/>
        </w:numPr>
        <w:spacing w:before="0" w:after="163"/>
        <w:ind w:left="2805" w:hanging="0"/>
        <w:outlineLvl w:val="1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12</w:t>
      </w:r>
    </w:p>
    <w:p>
      <w:pPr>
        <w:pStyle w:val="Normal"/>
        <w:spacing w:lineRule="auto" w:line="247" w:before="0" w:after="4"/>
        <w:ind w:left="741" w:right="7" w:hanging="0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за налоговый период 2026 года:</w:t>
      </w:r>
    </w:p>
    <w:p>
      <w:pPr>
        <w:pStyle w:val="Normal"/>
        <w:spacing w:lineRule="auto" w:line="264" w:before="0" w:after="0"/>
        <w:ind w:left="734" w:right="4408" w:firstLine="762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(Н2026 - Н2023 х 2) </w:t>
      </w:r>
      <w:r>
        <w:rPr/>
        <w:drawing>
          <wp:inline distT="0" distB="0" distL="0" distR="0">
            <wp:extent cx="14605" cy="14605"/>
            <wp:effectExtent l="0" t="0" r="0" b="0"/>
            <wp:docPr id="12" name="Рисунок 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8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нл -</w:t>
      </w:r>
      <w:r>
        <w:rPr/>
        <w:drawing>
          <wp:inline distT="0" distB="0" distL="0" distR="0">
            <wp:extent cx="14605" cy="14605"/>
            <wp:effectExtent l="0" t="0" r="0" b="0"/>
            <wp:docPr id="13" name="Рисунок 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7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lear" w:pos="708"/>
          <w:tab w:val="center" w:pos="2819" w:leader="none"/>
          <w:tab w:val="center" w:pos="6501" w:leader="none"/>
        </w:tabs>
        <w:spacing w:before="0" w:after="270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ab/>
        <w:t>12</w:t>
        <w:tab/>
        <w:t>где:</w:t>
      </w:r>
      <w:r>
        <w:rPr/>
        <w:drawing>
          <wp:inline distT="0" distB="0" distL="0" distR="0">
            <wp:extent cx="14605" cy="19050"/>
            <wp:effectExtent l="0" t="0" r="0" b="0"/>
            <wp:docPr id="14" name="Рисунок 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6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НЛ - размер налоговой льготы, на которую уменьшается сумма налога на имущество физических лиц, исчисленная за 2024, 2025 и 2026 годы соответственно;</w:t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Н202З - сумма налога на имущество физических лиц, рассчитанная за налоговый период 2023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Н2024 - сумма налога на имущество физических лиц, рассчитанная </w:t>
        <w:br/>
        <w:t xml:space="preserve">за налоговый период 2024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</w:t>
      </w:r>
      <w:r>
        <w:rPr/>
        <w:drawing>
          <wp:inline distT="0" distB="0" distL="0" distR="0">
            <wp:extent cx="14605" cy="14605"/>
            <wp:effectExtent l="0" t="0" r="0" b="0"/>
            <wp:docPr id="15" name="Picture 1127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1274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кадастровая стоимость, внесенная в Единый государственный реестр недвижимости и подлежащая применению с 1 января года налогового </w:t>
      </w:r>
      <w:r>
        <w:rPr/>
        <w:drawing>
          <wp:inline distT="0" distB="0" distL="0" distR="0">
            <wp:extent cx="14605" cy="14605"/>
            <wp:effectExtent l="0" t="0" r="0" b="0"/>
            <wp:docPr id="16" name="Picture 1127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1275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периода;</w:t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Н2025 - сумма налога на имущество физических лиц, рассчитанная за налоговый период 2025 года (без учета положений пунктов 4, 5 и 6 статьи 408 Налогового кодекса Российской Федерации) в отношении объекта </w:t>
      </w:r>
      <w:r>
        <w:rPr/>
        <w:drawing>
          <wp:inline distT="0" distB="0" distL="0" distR="0">
            <wp:extent cx="14605" cy="95250"/>
            <wp:effectExtent l="0" t="0" r="0" b="0"/>
            <wp:docPr id="17" name="Picture 2019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0194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</w:t>
      </w:r>
      <w:r>
        <w:rPr/>
        <w:drawing>
          <wp:inline distT="0" distB="0" distL="0" distR="0">
            <wp:extent cx="14605" cy="14605"/>
            <wp:effectExtent l="0" t="0" r="0" b="0"/>
            <wp:docPr id="18" name="Picture 1128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1280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периода;</w:t>
      </w:r>
      <w:r>
        <w:rPr/>
        <w:drawing>
          <wp:inline distT="0" distB="0" distL="0" distR="0">
            <wp:extent cx="14605" cy="14605"/>
            <wp:effectExtent l="0" t="0" r="0" b="0"/>
            <wp:docPr id="19" name="Picture 1127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1279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Н2026 - сумма налога на имущество физических лиц, рассчитанная </w:t>
        <w:br/>
        <w:t xml:space="preserve">за налоговый период 2026 года (без учета положений пунктов 4, 5 и 6 статьи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br/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408 Налогового кодекса Российской Федерации) в отношении объекта недвижимого имущества, налоговая база по которому определена </w:t>
        <w:br/>
        <w:t xml:space="preserve">как кадастровая стоимость, внесенная в Единый государственный реестр недвижимости и подлежащая применению с 1 января года налогового периода;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en-US"/>
        </w:rPr>
        <w:t>d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- доля в праве собственности на объект недвижимого имущества </w:t>
        <w:br/>
        <w:t xml:space="preserve">в налоговом периоде, в котором у налогоплательщика имелось право на применение налоговой льготы; п количество полных месяцев владения объектом недвижимого имущества в налоговом периоде, в котором </w:t>
        <w:br/>
        <w:t xml:space="preserve">у налогоплательщика имелось </w:t>
      </w:r>
      <w:r>
        <w:rPr/>
        <w:drawing>
          <wp:inline distT="0" distB="0" distL="0" distR="0">
            <wp:extent cx="14605" cy="14605"/>
            <wp:effectExtent l="0" t="0" r="0" b="0"/>
            <wp:docPr id="20" name="Picture 1128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1285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право на применение налоговой льготы.</w:t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В целях настоящего пункта показатели Н202З, Н2024, Н2025 и Н2026 рассчитываются без учета льгот по налогу на имущество физических лиц, право на применение которых предоставлено физическим лицам, являющимся плательщиками налога на имущество физических лиц, </w:t>
        <w:br/>
        <w:t xml:space="preserve">в соответствующих налоговых периодах». </w:t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2. Настоящее решение вступает в силу со дня, следующего за днем его официального опубликования, и распространяет свое действие </w:t>
        <w:br/>
        <w:t>на правоотношения, возникшие с 1 января 2024 года.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Глава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Мордовско-Козловского сельского поселения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В.Н.Шукшин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134" w:right="850" w:header="0" w:top="90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05726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image" Target="media/image19.jpeg"/><Relationship Id="rId21" Type="http://schemas.openxmlformats.org/officeDocument/2006/relationships/image" Target="media/image20.jpeg"/><Relationship Id="rId22" Type="http://schemas.openxmlformats.org/officeDocument/2006/relationships/fontTable" Target="fontTable.xml"/><Relationship Id="rId23" Type="http://schemas.openxmlformats.org/officeDocument/2006/relationships/settings" Target="settings.xml"/><Relationship Id="rId2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LibreOffice/6.4.0.3$Windows_X86_64 LibreOffice_project/b0a288ab3d2d4774cb44b62f04d5d28733ac6df8</Application>
  <Pages>3</Pages>
  <Words>948</Words>
  <Characters>6031</Characters>
  <CharactersWithSpaces>7050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2024-08-07T08:47:00Z</dcterms:created>
  <dc:creator>Admin</dc:creator>
  <dc:description/>
  <dc:language>ru-RU</dc:language>
  <cp:lastModifiedBy/>
  <dcterms:modified xsi:type="dcterms:W3CDTF">2024-08-14T11:41:09Z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