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uppressAutoHyphens w:val="true"/>
        <w:spacing w:lineRule="auto" w:line="240" w:before="0" w:after="0"/>
        <w:jc w:val="right"/>
        <w:textAlignment w:val="baseline"/>
        <w:rPr>
          <w:rFonts w:ascii="Times New Roman" w:hAnsi="Times New Roman" w:eastAsia="Times New Roman" w:cs="Times New Roman"/>
          <w:b/>
          <w:b/>
          <w:color w:val="FF0000"/>
          <w:kern w:val="2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FF0000"/>
          <w:kern w:val="2"/>
          <w:sz w:val="24"/>
          <w:szCs w:val="24"/>
          <w:lang w:eastAsia="ru-RU"/>
        </w:rPr>
        <w:t xml:space="preserve">                                                                   </w:t>
      </w:r>
      <w:r>
        <w:rPr>
          <w:rFonts w:eastAsia="Times New Roman" w:cs="Times New Roman" w:ascii="Times New Roman" w:hAnsi="Times New Roman"/>
          <w:b/>
          <w:color w:val="000000"/>
          <w:kern w:val="2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color w:val="000000"/>
          <w:kern w:val="2"/>
          <w:sz w:val="24"/>
          <w:szCs w:val="24"/>
          <w:lang w:eastAsia="ru-RU"/>
        </w:rPr>
        <w:t>ПРОЕКТ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РЕСПУБЛИКА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СОВЕТ ДЕПУТАТОВ МОРДОВСКО-КОЗЛОВСКОГО СЕЛЬСКОГО ПОСЕЛЕНИЯ 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Cs/>
          <w:sz w:val="32"/>
          <w:szCs w:val="32"/>
          <w:lang w:eastAsia="ru-RU"/>
        </w:rPr>
        <w:t xml:space="preserve">                    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РЕШЕНИЕ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 </w:t>
      </w:r>
    </w:p>
    <w:p>
      <w:pPr>
        <w:pStyle w:val="Normal"/>
        <w:jc w:val="center"/>
        <w:rPr>
          <w:rFonts w:ascii="Calibri" w:hAnsi="Calibri" w:eastAsia="Calibri" w:cs="Times New Roman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 xml:space="preserve">от «_»_____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2024 года  №_                                       </w:t>
      </w:r>
    </w:p>
    <w:p>
      <w:pPr>
        <w:pStyle w:val="Normal"/>
        <w:suppressAutoHyphens w:val="true"/>
        <w:spacing w:lineRule="auto" w:line="240" w:before="0" w:after="0"/>
        <w:jc w:val="center"/>
        <w:textAlignment w:val="baseline"/>
        <w:rPr>
          <w:rFonts w:ascii="Times New Roman" w:hAnsi="Times New Roman" w:eastAsia="SimSun" w:cs="Times New Roman"/>
          <w:b/>
          <w:b/>
          <w:kern w:val="2"/>
          <w:sz w:val="28"/>
          <w:szCs w:val="28"/>
          <w:lang w:eastAsia="ru-RU"/>
        </w:rPr>
      </w:pPr>
      <w:r>
        <w:rPr>
          <w:rFonts w:eastAsia="SimSun" w:cs="Times New Roman" w:ascii="Times New Roman" w:hAnsi="Times New Roman"/>
          <w:b/>
          <w:kern w:val="2"/>
          <w:sz w:val="28"/>
          <w:szCs w:val="28"/>
          <w:lang w:eastAsia="ru-RU"/>
        </w:rPr>
      </w:r>
    </w:p>
    <w:p>
      <w:pPr>
        <w:pStyle w:val="Normal"/>
        <w:suppressAutoHyphens w:val="true"/>
        <w:spacing w:lineRule="auto" w:line="240" w:before="0" w:after="0"/>
        <w:jc w:val="center"/>
        <w:textAlignment w:val="baseline"/>
        <w:rPr>
          <w:rFonts w:ascii="Times New Roman" w:hAnsi="Times New Roman" w:eastAsia="SimSun" w:cs="Times New Roman"/>
          <w:b/>
          <w:b/>
          <w:kern w:val="2"/>
          <w:sz w:val="28"/>
          <w:szCs w:val="28"/>
          <w:lang w:eastAsia="ru-RU"/>
        </w:rPr>
      </w:pPr>
      <w:r>
        <w:rPr>
          <w:rFonts w:eastAsia="SimSun" w:cs="Times New Roman" w:ascii="Times New Roman" w:hAnsi="Times New Roman"/>
          <w:b/>
          <w:kern w:val="2"/>
          <w:sz w:val="32"/>
          <w:szCs w:val="32"/>
          <w:lang w:eastAsia="ru-RU"/>
        </w:rPr>
        <w:t>Об установлении земельного налога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000000"/>
          <w:kern w:val="2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kern w:val="2"/>
          <w:sz w:val="24"/>
          <w:szCs w:val="24"/>
          <w:lang w:eastAsia="ru-RU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Arial" w:hAnsi="Arial" w:eastAsia="Times New Roman" w:cs="Arial"/>
          <w:color w:val="000000"/>
          <w:kern w:val="2"/>
          <w:sz w:val="24"/>
          <w:szCs w:val="24"/>
          <w:lang w:eastAsia="ru-RU"/>
        </w:rPr>
      </w:pPr>
      <w:r>
        <w:rPr>
          <w:rFonts w:eastAsia="Times New Roman" w:cs="Arial" w:ascii="Arial" w:hAnsi="Arial"/>
          <w:color w:val="000000"/>
          <w:kern w:val="2"/>
          <w:sz w:val="24"/>
          <w:szCs w:val="24"/>
          <w:lang w:eastAsia="ru-RU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Calibri" w:hAnsi="Calibri" w:eastAsia="SimSun" w:cs="Tahoma"/>
          <w:kern w:val="2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В целях приведения нормативных правовых актов в соответствие с </w:t>
      </w:r>
      <w:hyperlink r:id="rId2">
        <w:r>
          <w:rPr>
            <w:rFonts w:eastAsia="Times New Roman" w:cs="Times New Roman" w:ascii="Times New Roman" w:hAnsi="Times New Roman"/>
            <w:kern w:val="2"/>
            <w:sz w:val="24"/>
            <w:szCs w:val="24"/>
            <w:lang w:eastAsia="ru-RU"/>
          </w:rPr>
          <w:t>Налоговым</w:t>
        </w:r>
      </w:hyperlink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кодексом Российской Федерации и Уставом Мордовско-Козловского сельского поселения Атюрьевского муниципального района, Совет депутатов Мордовско-Козловского сельского поселения решил: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  <w:lang w:eastAsia="ru-RU"/>
        </w:rPr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1. Ввести в действие на территории Мордовско-Козловского сельского поселения земельный налог и установить налоговые ставки, порядок и сроки уплаты.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2. Установить налоговые ставки земельного налога в размере: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1) 0,3 процента в отношении земельных участков: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>
      <w:pPr>
        <w:pStyle w:val="Normal"/>
        <w:shd w:val="clear" w:color="auto" w:fill="FFFFFF"/>
        <w:suppressAutoHyphens w:val="true"/>
        <w:spacing w:lineRule="atLeast" w:line="285" w:before="0" w:after="0"/>
        <w:jc w:val="both"/>
        <w:textAlignment w:val="baseline"/>
        <w:rPr>
          <w:rFonts w:ascii="Times New Roman" w:hAnsi="Times New Roman" w:eastAsia="SimSun" w:cs="Tahoma"/>
          <w:kern w:val="2"/>
          <w:sz w:val="28"/>
          <w:szCs w:val="28"/>
          <w:lang w:eastAsia="ru-RU"/>
        </w:rPr>
      </w:pPr>
      <w:bookmarkStart w:id="0" w:name="024760"/>
      <w:bookmarkStart w:id="1" w:name="018394"/>
      <w:bookmarkStart w:id="2" w:name="003687"/>
      <w:bookmarkStart w:id="3" w:name="001395"/>
      <w:bookmarkEnd w:id="0"/>
      <w:bookmarkEnd w:id="1"/>
      <w:bookmarkEnd w:id="2"/>
      <w:bookmarkEnd w:id="3"/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          </w:t>
      </w:r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>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>
      <w:pPr>
        <w:pStyle w:val="Normal"/>
        <w:shd w:val="clear" w:color="auto" w:fill="FFFFFF"/>
        <w:suppressAutoHyphens w:val="true"/>
        <w:spacing w:lineRule="atLeast" w:line="285" w:before="0" w:after="0"/>
        <w:jc w:val="both"/>
        <w:textAlignment w:val="baseline"/>
        <w:rPr>
          <w:rFonts w:ascii="Times New Roman" w:hAnsi="Times New Roman" w:eastAsia="SimSun" w:cs="Tahoma"/>
          <w:kern w:val="2"/>
          <w:sz w:val="28"/>
          <w:szCs w:val="28"/>
          <w:lang w:eastAsia="ru-RU"/>
        </w:rPr>
      </w:pPr>
      <w:bookmarkStart w:id="4" w:name="017534"/>
      <w:bookmarkStart w:id="5" w:name="003688"/>
      <w:bookmarkStart w:id="6" w:name="001396"/>
      <w:bookmarkStart w:id="7" w:name="003220"/>
      <w:bookmarkEnd w:id="4"/>
      <w:bookmarkEnd w:id="5"/>
      <w:bookmarkEnd w:id="6"/>
      <w:bookmarkEnd w:id="7"/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        </w:t>
      </w:r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</w:t>
      </w:r>
      <w:hyperlink r:id="rId3">
        <w:r>
          <w:rPr>
            <w:rFonts w:eastAsia="SimSun" w:cs="Tahoma" w:ascii="Times New Roman" w:hAnsi="Times New Roman"/>
            <w:kern w:val="2"/>
            <w:sz w:val="24"/>
            <w:szCs w:val="24"/>
            <w:lang w:eastAsia="ru-RU"/>
          </w:rPr>
          <w:t>законом</w:t>
        </w:r>
      </w:hyperlink>
      <w:r>
        <w:rPr>
          <w:rFonts w:eastAsia="SimSun" w:cs="Tahoma" w:ascii="Times New Roman" w:hAnsi="Times New Roman"/>
          <w:kern w:val="2"/>
          <w:sz w:val="24"/>
          <w:szCs w:val="24"/>
          <w:lang w:eastAsia="ru-RU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         приобретенных (предоставленных) для личного подсобного хозяйства, садоводства, огородничества или животноводства, а также дачного хозяйства;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 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2) 1,5 процента в отношении прочих земельных участков.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 xml:space="preserve">   </w:t>
      </w: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ab/>
        <w:t>3. Освободить от уплаты земельного налога следующие категории налогоплательщиков: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организации в отношении земельных участков, входящих в состав государственной (муниципальной) казны;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4. 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5. Налогоплательщики - физические лица, имеющие право на налоговые льготы, в том числе в виде уменьшения налоговой базы на не облагаемую налогом сумму, установленные законодательством о налогах и сборах,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6. Решение Совета депутатов Мордовско-Козловского сельского поселения от 29.11.2019 №56 «Об установлении земельного налога» признать утратившим силу.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709"/>
        <w:jc w:val="both"/>
        <w:textAlignment w:val="baseline"/>
        <w:rPr>
          <w:rFonts w:ascii="Times New Roman" w:hAnsi="Times New Roman" w:eastAsia="Times New Roman" w:cs="Times New Roman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kern w:val="2"/>
          <w:sz w:val="24"/>
          <w:szCs w:val="24"/>
          <w:lang w:eastAsia="ru-RU"/>
        </w:rPr>
        <w:t>7. Настоящее решение вступает в силу после его официального опубликования в информационном бюллетене Мордовско-Козловского сельского поселения и на официальном сайте в сети Интернет.</w:t>
      </w:r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540"/>
        <w:jc w:val="both"/>
        <w:textAlignment w:val="baseline"/>
        <w:rPr>
          <w:rFonts w:ascii="Times New Roman" w:hAnsi="Times New Roman" w:eastAsia="Times New Roman" w:cs="Times New Roman"/>
          <w:color w:val="333333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kern w:val="2"/>
          <w:sz w:val="28"/>
          <w:szCs w:val="28"/>
          <w:lang w:eastAsia="ru-RU"/>
        </w:rPr>
      </w:r>
      <w:bookmarkStart w:id="8" w:name="_GoBack"/>
      <w:bookmarkStart w:id="9" w:name="_GoBack"/>
      <w:bookmarkEnd w:id="9"/>
    </w:p>
    <w:p>
      <w:pPr>
        <w:pStyle w:val="Normal"/>
        <w:shd w:val="clear" w:color="auto" w:fill="FFFFFF"/>
        <w:suppressAutoHyphens w:val="true"/>
        <w:spacing w:lineRule="auto" w:line="240" w:before="0" w:after="0"/>
        <w:ind w:firstLine="540"/>
        <w:jc w:val="both"/>
        <w:textAlignment w:val="baseline"/>
        <w:rPr>
          <w:rFonts w:ascii="Times New Roman" w:hAnsi="Times New Roman" w:eastAsia="Times New Roman" w:cs="Times New Roman"/>
          <w:color w:val="333333"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333333"/>
          <w:kern w:val="2"/>
          <w:sz w:val="28"/>
          <w:szCs w:val="28"/>
          <w:lang w:eastAsia="ru-RU"/>
        </w:rPr>
      </w:r>
    </w:p>
    <w:p>
      <w:pPr>
        <w:pStyle w:val="Normal"/>
        <w:spacing w:lineRule="auto" w:line="276" w:before="0" w:after="160"/>
        <w:ind w:left="570" w:right="1120" w:hanging="0"/>
        <w:contextualSpacing/>
        <w:jc w:val="right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widowControl/>
        <w:bidi w:val="0"/>
        <w:spacing w:lineRule="auto" w:line="276" w:before="0" w:after="160"/>
        <w:ind w:left="567" w:right="397" w:hanging="0"/>
        <w:contextualSpacing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Глава</w:t>
      </w:r>
    </w:p>
    <w:p>
      <w:pPr>
        <w:pStyle w:val="Normal"/>
        <w:widowControl/>
        <w:tabs>
          <w:tab w:val="clear" w:pos="708"/>
          <w:tab w:val="left" w:pos="8955" w:leader="none"/>
        </w:tabs>
        <w:bidi w:val="0"/>
        <w:spacing w:lineRule="auto" w:line="276" w:before="0" w:after="160"/>
        <w:ind w:left="567" w:right="340" w:hanging="0"/>
        <w:contextualSpacing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Мордовско-Козловского сельского поселения </w:t>
      </w:r>
    </w:p>
    <w:p>
      <w:pPr>
        <w:pStyle w:val="Normal"/>
        <w:widowControl/>
        <w:bidi w:val="0"/>
        <w:spacing w:lineRule="auto" w:line="276" w:before="0" w:after="160"/>
        <w:ind w:left="567" w:right="283" w:hanging="0"/>
        <w:contextualSpacing/>
        <w:jc w:val="right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В.Н.Шукшин                       </w:t>
      </w:r>
    </w:p>
    <w:p>
      <w:pPr>
        <w:pStyle w:val="Normal"/>
        <w:spacing w:before="0" w:after="160"/>
        <w:rPr>
          <w:rFonts w:ascii="Times New Roman" w:hAnsi="Times New Roman"/>
          <w:sz w:val="24"/>
          <w:szCs w:val="24"/>
        </w:rPr>
      </w:pPr>
      <w:r>
        <w:rPr/>
      </w:r>
    </w:p>
    <w:sectPr>
      <w:type w:val="nextPage"/>
      <w:pgSz w:w="11906" w:h="16838"/>
      <w:pgMar w:left="1276" w:right="566" w:header="0" w:top="709" w:footer="0" w:bottom="1134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rnla-service.scli.ru:8080/rnla-links/ws/content/act/f7de1846-3c6a-47ab-b440-b8e4cea90c68.html" TargetMode="External"/><Relationship Id="rId3" Type="http://schemas.openxmlformats.org/officeDocument/2006/relationships/hyperlink" Target="https://sudact.ru/law/federalnyi-zakon-ot-29072017-n-217-fz-o/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LibreOffice/6.4.0.3$Windows_X86_64 LibreOffice_project/b0a288ab3d2d4774cb44b62f04d5d28733ac6df8</Application>
  <Pages>2</Pages>
  <Words>471</Words>
  <Characters>3583</Characters>
  <CharactersWithSpaces>4277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2024-08-07T08:55:00Z</dcterms:created>
  <dc:creator>Admin</dc:creator>
  <dc:description/>
  <dc:language>ru-RU</dc:language>
  <cp:lastModifiedBy/>
  <dcterms:modified xsi:type="dcterms:W3CDTF">2024-08-14T11:05:02Z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