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D1B" w:rsidRDefault="00FA6D1B">
      <w:pPr>
        <w:pStyle w:val="Heading9"/>
        <w:spacing w:line="233" w:lineRule="auto"/>
        <w:jc w:val="both"/>
        <w:rPr>
          <w:rFonts w:eastAsia="Batang" w:cs="Times New Roman"/>
          <w:sz w:val="28"/>
          <w:szCs w:val="28"/>
        </w:rPr>
      </w:pPr>
    </w:p>
    <w:p w:rsidR="00FA6D1B" w:rsidRDefault="00FA6D1B">
      <w:pPr>
        <w:pStyle w:val="Heading9"/>
        <w:spacing w:line="233" w:lineRule="auto"/>
        <w:rPr>
          <w:rFonts w:eastAsia="Batang" w:cs="Times New Roman"/>
          <w:sz w:val="28"/>
          <w:szCs w:val="28"/>
        </w:rPr>
      </w:pPr>
      <w:r>
        <w:rPr>
          <w:rFonts w:eastAsia="Batang" w:cs="Times New Roman"/>
          <w:sz w:val="28"/>
          <w:szCs w:val="28"/>
        </w:rPr>
        <w:t>СОВЕТ ДЕПУТАТОВ</w:t>
      </w:r>
    </w:p>
    <w:p w:rsidR="00FA6D1B" w:rsidRDefault="00FA6D1B">
      <w:pPr>
        <w:pStyle w:val="Heading9"/>
        <w:spacing w:line="233" w:lineRule="auto"/>
        <w:rPr>
          <w:rFonts w:eastAsia="Batang" w:cs="Times New Roman"/>
          <w:sz w:val="28"/>
          <w:szCs w:val="28"/>
        </w:rPr>
      </w:pPr>
      <w:r>
        <w:rPr>
          <w:rFonts w:eastAsia="Batang" w:cs="Times New Roman"/>
          <w:sz w:val="28"/>
          <w:szCs w:val="28"/>
        </w:rPr>
        <w:t>КУРТАШКИНСКОГО СЕЛЬСКОГО ПОСЕЛЕНИЯ</w:t>
      </w:r>
    </w:p>
    <w:p w:rsidR="00FA6D1B" w:rsidRDefault="00FA6D1B">
      <w:pPr>
        <w:pStyle w:val="Heading9"/>
        <w:spacing w:line="233" w:lineRule="auto"/>
        <w:rPr>
          <w:rFonts w:eastAsia="Batang" w:cs="Times New Roman"/>
          <w:sz w:val="28"/>
          <w:szCs w:val="28"/>
        </w:rPr>
      </w:pPr>
      <w:r>
        <w:rPr>
          <w:rFonts w:eastAsia="Batang" w:cs="Times New Roman"/>
          <w:sz w:val="28"/>
          <w:szCs w:val="28"/>
        </w:rPr>
        <w:t>АТЮРЬЕВСКОГО МУНИЦИПАЛЬНОГО РАЙОНА</w:t>
      </w:r>
    </w:p>
    <w:p w:rsidR="00FA6D1B" w:rsidRDefault="00FA6D1B">
      <w:pPr>
        <w:pStyle w:val="Heading9"/>
        <w:spacing w:line="233" w:lineRule="auto"/>
        <w:rPr>
          <w:rFonts w:eastAsia="Batang" w:cs="Times New Roman"/>
          <w:sz w:val="28"/>
          <w:szCs w:val="28"/>
        </w:rPr>
      </w:pPr>
      <w:r>
        <w:rPr>
          <w:rFonts w:eastAsia="Batang" w:cs="Times New Roman"/>
          <w:sz w:val="28"/>
          <w:szCs w:val="28"/>
        </w:rPr>
        <w:t>РЕСПУБЛИКА МОРДОВИЯ</w:t>
      </w:r>
    </w:p>
    <w:p w:rsidR="00FA6D1B" w:rsidRDefault="00FA6D1B">
      <w:pPr>
        <w:pStyle w:val="Heading9"/>
        <w:spacing w:line="233" w:lineRule="auto"/>
        <w:rPr>
          <w:rFonts w:eastAsia="Batang" w:cs="Times New Roman"/>
          <w:sz w:val="28"/>
          <w:szCs w:val="28"/>
        </w:rPr>
      </w:pPr>
    </w:p>
    <w:p w:rsidR="00FA6D1B" w:rsidRDefault="00FA6D1B">
      <w:pPr>
        <w:pStyle w:val="Heading9"/>
        <w:spacing w:line="233" w:lineRule="auto"/>
        <w:rPr>
          <w:rFonts w:eastAsia="Batang" w:cs="Times New Roman"/>
          <w:sz w:val="28"/>
          <w:szCs w:val="28"/>
        </w:rPr>
      </w:pPr>
      <w:r>
        <w:rPr>
          <w:rFonts w:eastAsia="Batang" w:cs="Times New Roman"/>
          <w:sz w:val="28"/>
          <w:szCs w:val="28"/>
        </w:rPr>
        <w:t>РЕШЕНИЕ</w:t>
      </w:r>
    </w:p>
    <w:p w:rsidR="00FA6D1B" w:rsidRDefault="00FA6D1B">
      <w:pPr>
        <w:ind w:firstLine="709"/>
        <w:rPr>
          <w:rFonts w:ascii="Arial" w:hAnsi="Arial" w:cs="Arial"/>
          <w:lang w:val="ru-RU"/>
        </w:rPr>
      </w:pPr>
    </w:p>
    <w:p w:rsidR="00FA6D1B" w:rsidRDefault="00FA6D1B">
      <w:pPr>
        <w:pStyle w:val="ConsPlusNormal"/>
        <w:widowControl/>
        <w:spacing w:line="233" w:lineRule="auto"/>
        <w:ind w:firstLine="567"/>
        <w:jc w:val="both"/>
        <w:rPr>
          <w:sz w:val="24"/>
          <w:szCs w:val="24"/>
        </w:rPr>
      </w:pPr>
    </w:p>
    <w:p w:rsidR="00FA6D1B" w:rsidRDefault="00FA6D1B">
      <w:pPr>
        <w:spacing w:after="394" w:line="259" w:lineRule="auto"/>
        <w:ind w:left="262" w:right="295" w:hanging="10"/>
        <w:jc w:val="left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от 11 июля 2024 года</w:t>
      </w:r>
      <w:r>
        <w:rPr>
          <w:rFonts w:cs="Times New Roman"/>
          <w:lang w:val="ru-RU"/>
        </w:rPr>
        <w:tab/>
        <w:t xml:space="preserve">        </w:t>
      </w:r>
      <w:r>
        <w:rPr>
          <w:rFonts w:cs="Times New Roman"/>
          <w:b/>
          <w:bCs/>
          <w:sz w:val="20"/>
          <w:szCs w:val="20"/>
        </w:rPr>
        <w:t>c</w:t>
      </w:r>
      <w:r>
        <w:rPr>
          <w:rFonts w:cs="Times New Roman"/>
          <w:b/>
          <w:bCs/>
          <w:sz w:val="20"/>
          <w:szCs w:val="20"/>
          <w:lang w:val="ru-RU"/>
        </w:rPr>
        <w:t>.Курташки</w:t>
      </w:r>
      <w:r>
        <w:rPr>
          <w:rFonts w:cs="Times New Roman"/>
          <w:b/>
          <w:bCs/>
          <w:lang w:val="ru-RU"/>
        </w:rPr>
        <w:t xml:space="preserve">                                      № 58</w:t>
      </w:r>
    </w:p>
    <w:p w:rsidR="00FA6D1B" w:rsidRDefault="00FA6D1B">
      <w:pPr>
        <w:pStyle w:val="Heading4"/>
        <w:rPr>
          <w:rFonts w:cs="Times New Roman"/>
        </w:rPr>
      </w:pPr>
      <w:r>
        <w:rPr>
          <w:rFonts w:cs="Times New Roman"/>
        </w:rPr>
        <w:t>О внесении изменения в решение Совета депутатов  Курташкинского сельского поселения Атюрьевского   муниципального района Республики Мордовия                                    от 24.11.2014 №5 «О налоге на имущество физических лиц»</w:t>
      </w:r>
    </w:p>
    <w:p w:rsidR="00FA6D1B" w:rsidRDefault="00FA6D1B">
      <w:pPr>
        <w:spacing w:after="0" w:line="240" w:lineRule="auto"/>
        <w:ind w:left="0" w:right="7" w:firstLine="0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       В соответствии с главой 32 Налогового кодекса Российской Федерации Совет депутатов Курташкинского сельского поселения</w:t>
      </w:r>
      <w:r>
        <w:rPr>
          <w:rFonts w:cs="Times New Roman"/>
          <w:noProof/>
          <w:sz w:val="22"/>
          <w:szCs w:val="22"/>
          <w:lang w:val="ru-RU" w:eastAsia="ru-RU"/>
        </w:rPr>
        <w:t xml:space="preserve"> </w:t>
      </w:r>
      <w:r>
        <w:rPr>
          <w:rFonts w:cs="Times New Roman"/>
          <w:lang w:val="ru-RU"/>
        </w:rPr>
        <w:t>решил:</w:t>
      </w:r>
      <w:r>
        <w:rPr>
          <w:rFonts w:cs="Times New Roman"/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0177" o:spid="_x0000_i1025" type="#_x0000_t75" style="width:.75pt;height:1.5pt;visibility:visible">
            <v:imagedata r:id="rId4" o:title=""/>
          </v:shape>
        </w:pic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>1. Внести в решение Совета депутатов Курташкинского сельского поселения от 24.11.2014 № 5 «О налоге на имущество физических лиц» изменение, дополнив пунктом 4 следующего содержания: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noProof/>
          <w:lang w:val="ru-RU" w:eastAsia="ru-RU"/>
        </w:rPr>
        <w:t xml:space="preserve"> 4. </w:t>
      </w:r>
      <w:r>
        <w:rPr>
          <w:rFonts w:cs="Times New Roman"/>
          <w:lang w:val="ru-RU"/>
        </w:rPr>
        <w:t xml:space="preserve">Физические лица - в отношении объектов недвижимого </w:t>
      </w:r>
      <w:r>
        <w:rPr>
          <w:rFonts w:cs="Times New Roman"/>
          <w:noProof/>
          <w:lang w:val="ru-RU" w:eastAsia="ru-RU"/>
        </w:rPr>
        <w:pict>
          <v:shape id="Picture 6838" o:spid="_x0000_i1026" type="#_x0000_t75" style="width:.75pt;height:.75pt;visibility:visible">
            <v:imagedata r:id="rId5" o:title=""/>
          </v:shape>
        </w:pict>
      </w:r>
      <w:r>
        <w:rPr>
          <w:rFonts w:cs="Times New Roman"/>
          <w:lang w:val="ru-RU"/>
        </w:rPr>
        <w:t xml:space="preserve">имущества, подлежащих налогообложению исходя из кадастровой стоимости и указанных в подпункте  2 пункта 2 Решения Совета депутатов от 24.11.2014 № 5 «О налоге на имущество физических лиц»,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машино-мест, расположенных в таких объектах налогообложения), в случае превышения величины кадастровой стоимости таких объектов недвижимого имущества, </w:t>
      </w:r>
      <w:r>
        <w:rPr>
          <w:rFonts w:cs="Times New Roman"/>
          <w:noProof/>
          <w:lang w:val="ru-RU" w:eastAsia="ru-RU"/>
        </w:rPr>
        <w:pict>
          <v:shape id="Picture 20181" o:spid="_x0000_i1027" type="#_x0000_t75" style="width:.75pt;height:5.25pt;visibility:visible">
            <v:imagedata r:id="rId6" o:title=""/>
          </v:shape>
        </w:pict>
      </w:r>
      <w:r>
        <w:rPr>
          <w:rFonts w:cs="Times New Roman"/>
          <w:lang w:val="ru-RU"/>
        </w:rPr>
        <w:t xml:space="preserve">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</w:t>
      </w:r>
      <w:r>
        <w:rPr>
          <w:rFonts w:cs="Times New Roman"/>
          <w:lang w:val="ru-RU"/>
        </w:rPr>
        <w:br/>
        <w:t>с 1 января 2023 года, имеют право на налоговую льготу за налоговые периоды 2024, 2025 и 2026 годов.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>Налоговая льгота, предусмотренная в части третьей Решения Совета депутатов от 24.11.2014 № 5 «О налоге на имущество физических лиц», предоставляется при соблюдении условия: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за налоговый период 2024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</w:t>
      </w:r>
      <w:r>
        <w:rPr>
          <w:rFonts w:cs="Times New Roman"/>
          <w:noProof/>
          <w:lang w:val="ru-RU" w:eastAsia="ru-RU"/>
        </w:rPr>
        <w:pict>
          <v:shape id="Picture 6842" o:spid="_x0000_i1028" type="#_x0000_t75" style="width:.75pt;height:.75pt;visibility:visible">
            <v:imagedata r:id="rId7" o:title=""/>
          </v:shape>
        </w:pict>
      </w:r>
      <w:r>
        <w:rPr>
          <w:rFonts w:cs="Times New Roman"/>
          <w:lang w:val="ru-RU"/>
        </w:rPr>
        <w:t xml:space="preserve">с января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>
        <w:rPr>
          <w:rFonts w:cs="Times New Roman"/>
          <w:noProof/>
          <w:lang w:val="ru-RU" w:eastAsia="ru-RU"/>
        </w:rPr>
        <w:pict>
          <v:shape id="Picture 6843" o:spid="_x0000_i1029" type="#_x0000_t75" style="width:.75pt;height:.75pt;visibility:visible">
            <v:imagedata r:id="rId8" o:title=""/>
          </v:shape>
        </w:pict>
      </w:r>
      <w:r>
        <w:rPr>
          <w:rFonts w:cs="Times New Roman"/>
          <w:lang w:val="ru-RU"/>
        </w:rPr>
        <w:t>1 января 2023 года;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за налоговый период 2025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за налоговый период 2026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</w:t>
      </w:r>
      <w:r>
        <w:rPr>
          <w:rFonts w:cs="Times New Roman"/>
          <w:noProof/>
          <w:lang w:val="ru-RU" w:eastAsia="ru-RU"/>
        </w:rPr>
        <w:pict>
          <v:shape id="Picture 9060" o:spid="_x0000_i1030" type="#_x0000_t75" style="width:.75pt;height:.75pt;visibility:visible">
            <v:imagedata r:id="rId9" o:title=""/>
          </v:shape>
        </w:pict>
      </w:r>
      <w:r>
        <w:rPr>
          <w:rFonts w:cs="Times New Roman"/>
          <w:lang w:val="ru-RU"/>
        </w:rPr>
        <w:t xml:space="preserve">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>
        <w:rPr>
          <w:rFonts w:cs="Times New Roman"/>
          <w:noProof/>
          <w:lang w:val="ru-RU" w:eastAsia="ru-RU"/>
        </w:rPr>
        <w:pict>
          <v:shape id="Picture 9061" o:spid="_x0000_i1031" type="#_x0000_t75" style="width:.75pt;height:.75pt;visibility:visible">
            <v:imagedata r:id="rId10" o:title=""/>
          </v:shape>
        </w:pict>
      </w:r>
      <w:r>
        <w:rPr>
          <w:rFonts w:cs="Times New Roman"/>
          <w:lang w:val="ru-RU"/>
        </w:rPr>
        <w:t>1 января 2023 года.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noProof/>
          <w:lang w:val="ru-RU" w:eastAsia="ru-RU"/>
        </w:rPr>
        <w:pict>
          <v:shape id="Picture 9067" o:spid="_x0000_s1026" type="#_x0000_t75" style="position:absolute;left:0;text-align:left;margin-left:554.8pt;margin-top:771.2pt;width:.35pt;height:.35pt;z-index:251658240;visibility:visible;mso-position-horizontal-relative:page;mso-position-vertical-relative:page" o:allowoverlap="f">
            <v:imagedata r:id="rId11" o:title=""/>
            <w10:wrap type="square" anchorx="page" anchory="page"/>
            <w10:anchorlock/>
          </v:shape>
        </w:pict>
      </w:r>
      <w:r>
        <w:rPr>
          <w:rFonts w:cs="Times New Roman"/>
          <w:lang w:val="ru-RU"/>
        </w:rPr>
        <w:t xml:space="preserve"> Налоговая льгота предоставляется в виде уменьшения суммы налога</w:t>
      </w:r>
      <w:r>
        <w:rPr>
          <w:rFonts w:cs="Times New Roman"/>
          <w:lang w:val="ru-RU"/>
        </w:rPr>
        <w:br/>
        <w:t xml:space="preserve">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</w:t>
      </w:r>
      <w:r>
        <w:rPr>
          <w:rFonts w:cs="Times New Roman"/>
          <w:lang w:val="ru-RU"/>
        </w:rPr>
        <w:br/>
        <w:t>по следующим формулам: за налоговый период 2024 года: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noProof/>
          <w:lang w:eastAsia="ru-RU"/>
        </w:rPr>
        <w:pict>
          <v:shape id="Picture 9062" o:spid="_x0000_i1032" type="#_x0000_t75" style="width:.75pt;height:.75pt;visibility:visible">
            <v:imagedata r:id="rId8" o:title=""/>
          </v:shape>
        </w:pic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>
        <w:rPr>
          <w:rFonts w:ascii="Times New Roman" w:hAnsi="Times New Roman" w:cs="Times New Roman"/>
          <w:sz w:val="27"/>
          <w:szCs w:val="27"/>
          <w:u w:val="single"/>
        </w:rPr>
        <w:t>(Н2024 – Н2023*1,4)</w:t>
      </w: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НЛ=                12                       *</w:t>
      </w:r>
      <w:r>
        <w:rPr>
          <w:rFonts w:ascii="Times New Roman" w:hAnsi="Times New Roman" w:cs="Times New Roman"/>
          <w:sz w:val="27"/>
          <w:szCs w:val="27"/>
          <w:lang w:val="en-US"/>
        </w:rPr>
        <w:t>d</w:t>
      </w:r>
      <w:r>
        <w:rPr>
          <w:rFonts w:ascii="Times New Roman" w:hAnsi="Times New Roman" w:cs="Times New Roman"/>
          <w:sz w:val="27"/>
          <w:szCs w:val="27"/>
        </w:rPr>
        <w:t>*</w:t>
      </w:r>
      <w:r>
        <w:rPr>
          <w:rFonts w:ascii="Times New Roman" w:hAnsi="Times New Roman" w:cs="Times New Roman"/>
          <w:sz w:val="27"/>
          <w:szCs w:val="27"/>
          <w:lang w:val="en-US"/>
        </w:rPr>
        <w:t>n</w:t>
      </w:r>
      <w:r>
        <w:rPr>
          <w:rFonts w:ascii="Times New Roman" w:hAnsi="Times New Roman" w:cs="Times New Roman"/>
          <w:sz w:val="27"/>
          <w:szCs w:val="27"/>
        </w:rPr>
        <w:t>,</w:t>
      </w: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за налоговый период 2025 года:</w:t>
      </w: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            </w:t>
      </w:r>
      <w:r>
        <w:rPr>
          <w:rFonts w:ascii="Times New Roman" w:hAnsi="Times New Roman" w:cs="Times New Roman"/>
          <w:sz w:val="27"/>
          <w:szCs w:val="27"/>
          <w:u w:val="single"/>
        </w:rPr>
        <w:t>(Н2025 – Н2023*1,7)</w:t>
      </w: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НЛ=                 12                       *</w:t>
      </w:r>
      <w:r>
        <w:rPr>
          <w:rFonts w:ascii="Times New Roman" w:hAnsi="Times New Roman" w:cs="Times New Roman"/>
          <w:sz w:val="27"/>
          <w:szCs w:val="27"/>
          <w:lang w:val="en-US"/>
        </w:rPr>
        <w:t>d</w:t>
      </w:r>
      <w:r>
        <w:rPr>
          <w:rFonts w:ascii="Times New Roman" w:hAnsi="Times New Roman" w:cs="Times New Roman"/>
          <w:sz w:val="27"/>
          <w:szCs w:val="27"/>
        </w:rPr>
        <w:t>*</w:t>
      </w:r>
      <w:r>
        <w:rPr>
          <w:rFonts w:ascii="Times New Roman" w:hAnsi="Times New Roman" w:cs="Times New Roman"/>
          <w:sz w:val="27"/>
          <w:szCs w:val="27"/>
          <w:lang w:val="en-US"/>
        </w:rPr>
        <w:t>n</w:t>
      </w:r>
      <w:r>
        <w:rPr>
          <w:rFonts w:ascii="Times New Roman" w:hAnsi="Times New Roman" w:cs="Times New Roman"/>
          <w:sz w:val="27"/>
          <w:szCs w:val="27"/>
        </w:rPr>
        <w:t>,</w:t>
      </w: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за налоговый период 2026 года:</w:t>
      </w:r>
    </w:p>
    <w:p w:rsidR="00FA6D1B" w:rsidRDefault="00FA6D1B">
      <w:pPr>
        <w:pStyle w:val="1"/>
        <w:ind w:left="7" w:right="7" w:firstLine="702"/>
        <w:jc w:val="both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sz w:val="27"/>
          <w:szCs w:val="27"/>
        </w:rPr>
        <w:tab/>
        <w:t xml:space="preserve">               </w:t>
      </w:r>
      <w:r>
        <w:rPr>
          <w:rFonts w:ascii="Times New Roman" w:hAnsi="Times New Roman" w:cs="Times New Roman"/>
          <w:sz w:val="27"/>
          <w:szCs w:val="27"/>
          <w:u w:val="single"/>
        </w:rPr>
        <w:t>(Н2026 – Н2023*2)</w:t>
      </w:r>
    </w:p>
    <w:p w:rsidR="00FA6D1B" w:rsidRDefault="00FA6D1B">
      <w:pPr>
        <w:tabs>
          <w:tab w:val="center" w:pos="2819"/>
          <w:tab w:val="center" w:pos="6501"/>
        </w:tabs>
        <w:spacing w:after="0" w:line="240" w:lineRule="auto"/>
        <w:ind w:left="7" w:right="7"/>
        <w:jc w:val="left"/>
        <w:rPr>
          <w:rFonts w:cs="Times New Roman"/>
          <w:lang w:val="ru-RU"/>
        </w:rPr>
      </w:pPr>
      <w:r>
        <w:rPr>
          <w:rFonts w:cs="Times New Roman"/>
          <w:sz w:val="27"/>
          <w:szCs w:val="27"/>
          <w:lang w:val="ru-RU"/>
        </w:rPr>
        <w:t xml:space="preserve">           НЛ=                 12                        *</w:t>
      </w:r>
      <w:r>
        <w:rPr>
          <w:rFonts w:cs="Times New Roman"/>
          <w:sz w:val="27"/>
          <w:szCs w:val="27"/>
        </w:rPr>
        <w:t>d</w:t>
      </w:r>
      <w:r>
        <w:rPr>
          <w:rFonts w:cs="Times New Roman"/>
          <w:sz w:val="27"/>
          <w:szCs w:val="27"/>
          <w:lang w:val="ru-RU"/>
        </w:rPr>
        <w:t>*</w:t>
      </w:r>
      <w:r>
        <w:rPr>
          <w:rFonts w:cs="Times New Roman"/>
          <w:sz w:val="27"/>
          <w:szCs w:val="27"/>
        </w:rPr>
        <w:t>n</w:t>
      </w:r>
      <w:r>
        <w:rPr>
          <w:rFonts w:cs="Times New Roman"/>
          <w:sz w:val="27"/>
          <w:szCs w:val="27"/>
          <w:lang w:val="ru-RU"/>
        </w:rPr>
        <w:t>,</w:t>
      </w:r>
      <w:r>
        <w:rPr>
          <w:rFonts w:cs="Times New Roman"/>
          <w:sz w:val="27"/>
          <w:szCs w:val="27"/>
          <w:lang w:val="ru-RU"/>
        </w:rPr>
        <w:tab/>
      </w:r>
      <w:r>
        <w:rPr>
          <w:rFonts w:cs="Times New Roman"/>
          <w:sz w:val="27"/>
          <w:szCs w:val="27"/>
          <w:lang w:val="ru-RU"/>
        </w:rPr>
        <w:tab/>
        <w:t>где: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>Н202З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Н2024 - сумма налога на имущество физических лиц, рассчитанная </w:t>
      </w:r>
      <w:r>
        <w:rPr>
          <w:rFonts w:cs="Times New Roman"/>
          <w:lang w:val="ru-RU"/>
        </w:rPr>
        <w:br/>
        <w:t xml:space="preserve">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</w:t>
      </w:r>
      <w:r>
        <w:rPr>
          <w:rFonts w:cs="Times New Roman"/>
          <w:noProof/>
          <w:lang w:val="ru-RU" w:eastAsia="ru-RU"/>
        </w:rPr>
        <w:pict>
          <v:shape id="Picture 11274" o:spid="_x0000_i1033" type="#_x0000_t75" style="width:.75pt;height:.75pt;visibility:visible">
            <v:imagedata r:id="rId12" o:title=""/>
          </v:shape>
        </w:pict>
      </w:r>
      <w:r>
        <w:rPr>
          <w:rFonts w:cs="Times New Roman"/>
          <w:lang w:val="ru-RU"/>
        </w:rPr>
        <w:t xml:space="preserve">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>
          <w:rFonts w:cs="Times New Roman"/>
          <w:noProof/>
          <w:lang w:val="ru-RU" w:eastAsia="ru-RU"/>
        </w:rPr>
        <w:pict>
          <v:shape id="Picture 11275" o:spid="_x0000_i1034" type="#_x0000_t75" style="width:.75pt;height:.75pt;visibility:visible">
            <v:imagedata r:id="rId13" o:title=""/>
          </v:shape>
        </w:pict>
      </w:r>
      <w:r>
        <w:rPr>
          <w:rFonts w:cs="Times New Roman"/>
          <w:lang w:val="ru-RU"/>
        </w:rPr>
        <w:t>периода;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</w:t>
      </w:r>
      <w:r>
        <w:rPr>
          <w:rFonts w:cs="Times New Roman"/>
          <w:noProof/>
          <w:lang w:val="ru-RU" w:eastAsia="ru-RU"/>
        </w:rPr>
        <w:pict>
          <v:shape id="Picture 20194" o:spid="_x0000_i1035" type="#_x0000_t75" style="width:.75pt;height:7.5pt;visibility:visible">
            <v:imagedata r:id="rId14" o:title=""/>
          </v:shape>
        </w:pict>
      </w:r>
      <w:r>
        <w:rPr>
          <w:rFonts w:cs="Times New Roman"/>
          <w:lang w:val="ru-RU"/>
        </w:rPr>
        <w:t xml:space="preserve">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>
        <w:rPr>
          <w:rFonts w:cs="Times New Roman"/>
          <w:noProof/>
          <w:lang w:val="ru-RU" w:eastAsia="ru-RU"/>
        </w:rPr>
        <w:pict>
          <v:shape id="Picture 11280" o:spid="_x0000_i1036" type="#_x0000_t75" style="width:.75pt;height:.75pt;visibility:visible">
            <v:imagedata r:id="rId8" o:title=""/>
          </v:shape>
        </w:pict>
      </w:r>
      <w:r>
        <w:rPr>
          <w:rFonts w:cs="Times New Roman"/>
          <w:lang w:val="ru-RU"/>
        </w:rPr>
        <w:t>периода;</w:t>
      </w:r>
      <w:r>
        <w:rPr>
          <w:rFonts w:cs="Times New Roman"/>
          <w:noProof/>
          <w:lang w:val="ru-RU" w:eastAsia="ru-RU"/>
        </w:rPr>
        <w:pict>
          <v:shape id="Picture 11279" o:spid="_x0000_i1037" type="#_x0000_t75" style="width:.75pt;height:.75pt;visibility:visible">
            <v:imagedata r:id="rId13" o:title=""/>
          </v:shape>
        </w:pic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Н2026 - сумма налога на имущество физических лиц, рассчитанная </w:t>
      </w:r>
      <w:r>
        <w:rPr>
          <w:rFonts w:cs="Times New Roman"/>
          <w:lang w:val="ru-RU"/>
        </w:rPr>
        <w:br/>
        <w:t xml:space="preserve">за налоговый период 2026 года (без учета положений пунктов 4, 5 и 6 статьи </w:t>
      </w:r>
      <w:r>
        <w:rPr>
          <w:rFonts w:cs="Times New Roman"/>
          <w:noProof/>
          <w:lang w:val="ru-RU" w:eastAsia="ru-RU"/>
        </w:rPr>
        <w:br/>
      </w:r>
      <w:r>
        <w:rPr>
          <w:rFonts w:cs="Times New Roman"/>
          <w:lang w:val="ru-RU"/>
        </w:rPr>
        <w:t xml:space="preserve">408 Налогового кодекса Российской Федерации) в отношении объекта недвижимого имущества, налоговая база по которому определена </w:t>
      </w:r>
      <w:r>
        <w:rPr>
          <w:rFonts w:cs="Times New Roman"/>
          <w:lang w:val="ru-RU"/>
        </w:rPr>
        <w:br/>
        <w:t xml:space="preserve">как кадастровая стоимость, внесенная в Единый государственный реестр недвижимости и подлежащая применению с 1 января года налогового периода; </w:t>
      </w:r>
      <w:r>
        <w:rPr>
          <w:rFonts w:cs="Times New Roman"/>
        </w:rPr>
        <w:t>d</w:t>
      </w:r>
      <w:r>
        <w:rPr>
          <w:rFonts w:cs="Times New Roman"/>
          <w:lang w:val="ru-RU"/>
        </w:rPr>
        <w:t xml:space="preserve"> - доля в праве собственности на объект недвижимого имущества </w:t>
      </w:r>
      <w:r>
        <w:rPr>
          <w:rFonts w:cs="Times New Roman"/>
          <w:lang w:val="ru-RU"/>
        </w:rPr>
        <w:br/>
        <w:t xml:space="preserve">в налоговом периоде, в котором у налогоплательщика имелось право на применение налоговой льготы; </w:t>
      </w:r>
      <w:r>
        <w:rPr>
          <w:rFonts w:cs="Times New Roman"/>
        </w:rPr>
        <w:t>n</w:t>
      </w:r>
      <w:r>
        <w:rPr>
          <w:rFonts w:cs="Times New Roman"/>
          <w:lang w:val="ru-RU"/>
        </w:rPr>
        <w:t xml:space="preserve">- количество полных месяцев владения объектом недвижимого имущества в налоговом периоде, в котором </w:t>
      </w:r>
      <w:r>
        <w:rPr>
          <w:rFonts w:cs="Times New Roman"/>
          <w:lang w:val="ru-RU"/>
        </w:rPr>
        <w:br/>
        <w:t xml:space="preserve">у налогоплательщика имелось </w:t>
      </w:r>
      <w:r>
        <w:rPr>
          <w:rFonts w:cs="Times New Roman"/>
          <w:noProof/>
          <w:lang w:val="ru-RU" w:eastAsia="ru-RU"/>
        </w:rPr>
        <w:pict>
          <v:shape id="Picture 11285" o:spid="_x0000_i1038" type="#_x0000_t75" style="width:.75pt;height:.75pt;visibility:visible">
            <v:imagedata r:id="rId15" o:title=""/>
          </v:shape>
        </w:pict>
      </w:r>
      <w:r>
        <w:rPr>
          <w:rFonts w:cs="Times New Roman"/>
          <w:lang w:val="ru-RU"/>
        </w:rPr>
        <w:t>право на применение налоговой льготы.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В целях настоящего пункта показатели Н202З, Н2024, Н2025 и Н2026 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</w:t>
      </w:r>
      <w:r>
        <w:rPr>
          <w:rFonts w:cs="Times New Roman"/>
          <w:lang w:val="ru-RU"/>
        </w:rPr>
        <w:br/>
        <w:t xml:space="preserve">в соответствующих налоговых периодах». </w:t>
      </w:r>
    </w:p>
    <w:p w:rsidR="00FA6D1B" w:rsidRDefault="00FA6D1B">
      <w:pPr>
        <w:spacing w:after="0" w:line="240" w:lineRule="auto"/>
        <w:ind w:left="7" w:right="7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2. Настоящее решение вступает в силу со дня, следующего за днем его официального опубликования, и распространяет свое действие </w:t>
      </w:r>
      <w:r>
        <w:rPr>
          <w:rFonts w:cs="Times New Roman"/>
          <w:lang w:val="ru-RU"/>
        </w:rPr>
        <w:br/>
        <w:t>на правоотношения, возникшие с 1 января 2024 года.</w:t>
      </w:r>
    </w:p>
    <w:p w:rsidR="00FA6D1B" w:rsidRDefault="00FA6D1B">
      <w:pPr>
        <w:ind w:left="0" w:right="7" w:firstLine="0"/>
        <w:rPr>
          <w:rFonts w:cs="Times New Roman"/>
          <w:lang w:val="ru-RU"/>
        </w:rPr>
      </w:pPr>
    </w:p>
    <w:p w:rsidR="00FA6D1B" w:rsidRDefault="00FA6D1B">
      <w:pPr>
        <w:ind w:left="0" w:right="7" w:firstLine="0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И.о. председателя Совета депутатов</w:t>
      </w:r>
    </w:p>
    <w:p w:rsidR="00FA6D1B" w:rsidRDefault="00FA6D1B">
      <w:pPr>
        <w:ind w:left="0" w:right="7" w:firstLine="0"/>
        <w:jc w:val="left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Курташкинск</w:t>
      </w:r>
      <w:bookmarkStart w:id="0" w:name="_GoBack"/>
      <w:bookmarkEnd w:id="0"/>
      <w:r>
        <w:rPr>
          <w:rFonts w:cs="Times New Roman"/>
          <w:b/>
          <w:bCs/>
          <w:lang w:val="ru-RU"/>
        </w:rPr>
        <w:t>ого сельского поселения                                    Е.П. Алёшкина</w:t>
      </w:r>
    </w:p>
    <w:sectPr w:rsidR="00FA6D1B" w:rsidSect="00FA6D1B">
      <w:type w:val="continuous"/>
      <w:pgSz w:w="11860" w:h="16860"/>
      <w:pgMar w:top="770" w:right="784" w:bottom="1108" w:left="16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№ЩЕБ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6D1B"/>
    <w:rsid w:val="00FA6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4" w:line="247" w:lineRule="auto"/>
      <w:ind w:left="245" w:firstLine="702"/>
      <w:jc w:val="both"/>
    </w:pPr>
    <w:rPr>
      <w:rFonts w:ascii="Times New Roman" w:hAnsi="Times New Roman"/>
      <w:color w:val="000000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after="31" w:line="240" w:lineRule="auto"/>
      <w:ind w:left="0" w:right="43" w:firstLine="0"/>
      <w:jc w:val="center"/>
      <w:outlineLvl w:val="0"/>
    </w:pPr>
    <w:rPr>
      <w:sz w:val="38"/>
      <w:szCs w:val="38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after="189" w:line="259" w:lineRule="auto"/>
      <w:ind w:left="2812" w:firstLine="0"/>
      <w:jc w:val="left"/>
      <w:outlineLvl w:val="1"/>
    </w:pPr>
    <w:rPr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after="0" w:line="265" w:lineRule="auto"/>
      <w:ind w:left="0" w:firstLine="0"/>
      <w:jc w:val="left"/>
      <w:outlineLvl w:val="2"/>
    </w:pPr>
    <w:rPr>
      <w:b/>
      <w:bCs/>
      <w:sz w:val="30"/>
      <w:szCs w:val="30"/>
      <w:lang w:val="ru-RU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after="394" w:line="240" w:lineRule="auto"/>
      <w:ind w:left="262" w:right="295" w:hanging="10"/>
      <w:jc w:val="left"/>
      <w:outlineLvl w:val="3"/>
    </w:pPr>
    <w:rPr>
      <w:b/>
      <w:bCs/>
      <w:lang w:val="ru-RU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spacing w:after="0" w:line="240" w:lineRule="auto"/>
      <w:ind w:left="0" w:firstLine="0"/>
      <w:jc w:val="center"/>
      <w:outlineLvl w:val="8"/>
    </w:pPr>
    <w:rPr>
      <w:b/>
      <w:bCs/>
      <w:color w:val="auto"/>
      <w:sz w:val="32"/>
      <w:szCs w:val="32"/>
      <w:lang w:val="ru-RU"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color w:val="000000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D1B"/>
    <w:rPr>
      <w:b/>
      <w:bCs/>
      <w:color w:val="000000"/>
      <w:sz w:val="28"/>
      <w:szCs w:val="28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9"/>
    <w:rPr>
      <w:rFonts w:ascii="Cambria" w:hAnsi="Cambria" w:cs="Cambria"/>
      <w:color w:val="000000"/>
      <w:lang w:val="en-US" w:eastAsia="en-US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Без интервала1"/>
    <w:uiPriority w:val="99"/>
    <w:rPr>
      <w:rFonts w:ascii="Calibri" w:hAnsi="Calibri" w:cs="Calibri"/>
      <w:lang w:eastAsia="en-US"/>
    </w:rPr>
  </w:style>
  <w:style w:type="paragraph" w:styleId="BodyText">
    <w:name w:val="Body Text"/>
    <w:basedOn w:val="Normal"/>
    <w:link w:val="BodyTextChar"/>
    <w:uiPriority w:val="99"/>
    <w:pPr>
      <w:tabs>
        <w:tab w:val="num" w:pos="727"/>
      </w:tabs>
      <w:ind w:left="0" w:right="7" w:firstLine="0"/>
      <w:jc w:val="left"/>
    </w:pPr>
    <w:rPr>
      <w:rFonts w:cs="Times New Roman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color w:val="000000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3</Pages>
  <Words>1060</Words>
  <Characters>6046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word2</dc:creator>
  <cp:keywords/>
  <dc:description/>
  <cp:lastModifiedBy>1</cp:lastModifiedBy>
  <cp:revision>2</cp:revision>
  <cp:lastPrinted>2024-07-03T13:19:00Z</cp:lastPrinted>
  <dcterms:created xsi:type="dcterms:W3CDTF">2024-07-22T08:06:00Z</dcterms:created>
  <dcterms:modified xsi:type="dcterms:W3CDTF">2024-07-22T08:06:00Z</dcterms:modified>
</cp:coreProperties>
</file>