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                                               </w:t>
      </w: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ru-RU" w:eastAsia="ru-RU" w:bidi="ar-SA"/>
        </w:rPr>
        <w:t xml:space="preserve">                    </w:t>
      </w:r>
      <w:r>
        <w:rPr>
          <w:rFonts w:eastAsia="Lucida Sans Unicode" w:cs="Tahoma"/>
          <w:b w:val="false"/>
          <w:bCs w:val="false"/>
          <w:color w:val="auto"/>
          <w:sz w:val="28"/>
          <w:szCs w:val="28"/>
          <w:lang w:val="ru-RU" w:eastAsia="ru-RU" w:bidi="ru-RU"/>
        </w:rPr>
        <w:t xml:space="preserve">                                                                                </w:t>
      </w:r>
      <w:r>
        <w:rPr/>
        <w:t xml:space="preserve">                                                    </w:t>
      </w:r>
      <w:r>
        <w:rPr>
          <w:rFonts w:eastAsia="Lucida Sans Unicode" w:cs="Tahoma"/>
          <w:b w:val="false"/>
          <w:bCs w:val="false"/>
          <w:color w:val="auto"/>
          <w:sz w:val="28"/>
          <w:szCs w:val="28"/>
          <w:lang w:val="ru-RU" w:eastAsia="ru-RU" w:bidi="ru-RU"/>
        </w:rPr>
        <w:t xml:space="preserve">                                                                                                         </w:t>
      </w:r>
    </w:p>
    <w:tbl>
      <w:tblPr>
        <w:tblW w:w="4583" w:type="dxa"/>
        <w:jc w:val="left"/>
        <w:tblInd w:w="57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1"/>
        <w:gridCol w:w="2281"/>
      </w:tblGrid>
      <w:tr>
        <w:trPr>
          <w:trHeight w:val="1005" w:hRule="atLeast"/>
        </w:trPr>
        <w:tc>
          <w:tcPr>
            <w:tcW w:w="2301" w:type="dxa"/>
            <w:tcBorders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АДМИНИСТРАЦИЯ</w:t>
            </w:r>
          </w:p>
          <w:p>
            <w:pPr>
              <w:pStyle w:val="Normal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 xml:space="preserve">МОРДОВСКО - КОЗЛОВСКОГО СЕЛЬСКОГО  ПОСЕЛЕНИЯ </w:t>
            </w:r>
          </w:p>
          <w:p>
            <w:pPr>
              <w:pStyle w:val="Normal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АТЮРЬЕВСКОГО</w:t>
            </w:r>
          </w:p>
          <w:p>
            <w:pPr>
              <w:pStyle w:val="Normal"/>
              <w:ind w:left="38" w:right="0" w:hanging="0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МУНИЦИПАЛЬНОГО</w:t>
            </w:r>
          </w:p>
          <w:p>
            <w:pPr>
              <w:pStyle w:val="Normal"/>
              <w:ind w:left="38" w:right="0" w:hanging="0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РАЙОНА</w:t>
            </w:r>
          </w:p>
        </w:tc>
        <w:tc>
          <w:tcPr>
            <w:tcW w:w="2281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МОРДОВСКО - КОЗЛОВСКЯЙ СЕЛЬСКЯЙ  ПОСЕЛЕНИЯНЬ</w:t>
            </w:r>
          </w:p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 xml:space="preserve">АДМИНИСТРАЦИЯСЬ АТЮРЬЕВСКЯЙ МУНИЦИПАЛЬНАЙ </w:t>
            </w:r>
          </w:p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РАЙОНОНЬ</w:t>
            </w:r>
          </w:p>
        </w:tc>
      </w:tr>
    </w:tbl>
    <w:p>
      <w:pPr>
        <w:pStyle w:val="Normal"/>
        <w:snapToGrid w:val="false"/>
        <w:jc w:val="left"/>
        <w:rPr/>
      </w:pPr>
      <w:r>
        <w:rPr/>
        <w:t xml:space="preserve">   </w:t>
      </w: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ул. Центральная, д.45  с. Мордовская </w:t>
      </w:r>
    </w:p>
    <w:p>
      <w:pPr>
        <w:pStyle w:val="Normal"/>
        <w:snapToGrid w:val="false"/>
        <w:jc w:val="left"/>
        <w:rPr/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Козловка  Атюрьевского  муниципального                    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                 </w:t>
      </w:r>
    </w:p>
    <w:p>
      <w:pPr>
        <w:pStyle w:val="Normal"/>
        <w:snapToGrid w:val="false"/>
        <w:jc w:val="left"/>
        <w:rPr/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      </w:t>
      </w: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района  Республики Мордовия                                 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6"/>
          <w:szCs w:val="26"/>
          <w:lang w:val="ru-RU" w:eastAsia="ru-RU" w:bidi="ar-SA"/>
        </w:rPr>
        <w:t>И.о.про</w:t>
      </w:r>
      <w:r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курора Атюрьевского района</w:t>
      </w:r>
    </w:p>
    <w:p>
      <w:pPr>
        <w:pStyle w:val="Normal"/>
        <w:jc w:val="left"/>
        <w:rPr/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        </w:t>
      </w: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431061, тел. (83454) 2-32-19                                     </w:t>
      </w:r>
      <w:r>
        <w:rPr>
          <w:rFonts w:eastAsia="Times New Roman" w:cs="Times New Roman"/>
          <w:b w:val="false"/>
          <w:bCs w:val="false"/>
          <w:color w:val="auto"/>
          <w:sz w:val="26"/>
          <w:szCs w:val="26"/>
          <w:lang w:val="ru-RU" w:eastAsia="ru-RU" w:bidi="ar-SA"/>
        </w:rPr>
        <w:t>советнику юстиции</w:t>
      </w:r>
    </w:p>
    <w:p>
      <w:pPr>
        <w:pStyle w:val="Normal"/>
        <w:spacing w:lineRule="atLeast" w:line="100"/>
        <w:rPr/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ОКПО-04302726, ОГРН 1021300765243                   </w:t>
      </w:r>
      <w:r>
        <w:rPr>
          <w:rFonts w:eastAsia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ru-RU" w:eastAsia="ru-RU" w:bidi="ar-SA"/>
        </w:rPr>
        <w:t xml:space="preserve">  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ru-RU" w:eastAsia="ru-RU" w:bidi="ar-SA"/>
        </w:rPr>
        <w:t>И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ru-RU" w:eastAsia="ru-RU" w:bidi="ar-SA"/>
        </w:rPr>
        <w:t>.М.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ru-RU" w:eastAsia="ru-RU" w:bidi="ar-SA"/>
        </w:rPr>
        <w:t>Баук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ru-RU" w:eastAsia="ru-RU" w:bidi="ar-SA"/>
        </w:rPr>
        <w:t>ину</w:t>
      </w: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    </w:t>
      </w:r>
    </w:p>
    <w:p>
      <w:pPr>
        <w:pStyle w:val="Normal"/>
        <w:spacing w:lineRule="atLeast" w:line="100"/>
        <w:rPr>
          <w:rFonts w:eastAsia="Times New Roman" w:cs="Times New Roman"/>
          <w:color w:val="auto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ИНН / КПП 1302063312 / 130201001  </w:t>
      </w:r>
      <w:r>
        <w:rPr>
          <w:rFonts w:eastAsia="Times New Roman" w:cs="Times New Roman"/>
          <w:b/>
          <w:color w:val="auto"/>
          <w:sz w:val="20"/>
          <w:szCs w:val="20"/>
          <w:lang w:val="ru-RU" w:eastAsia="ru-RU" w:bidi="ar-SA"/>
        </w:rPr>
        <w:t xml:space="preserve">                             </w:t>
      </w:r>
    </w:p>
    <w:p>
      <w:pPr>
        <w:pStyle w:val="Normal"/>
        <w:spacing w:lineRule="atLeast" w:line="100"/>
        <w:rPr>
          <w:rFonts w:eastAsia="Times New Roman" w:cs="Times New Roman"/>
          <w:b w:val="false"/>
          <w:b w:val="false"/>
          <w:bCs w:val="false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         </w:t>
      </w: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val="ru-RU" w:eastAsia="ru-RU" w:bidi="ar-SA"/>
        </w:rPr>
        <w:t>от 19.</w:t>
      </w:r>
      <w:r>
        <w:rPr>
          <w:rFonts w:eastAsia="Times New Roman" w:cs="Times New Roman"/>
          <w:b w:val="false"/>
          <w:bCs w:val="false"/>
          <w:color w:val="auto"/>
          <w:sz w:val="20"/>
          <w:szCs w:val="20"/>
          <w:u w:val="single"/>
          <w:lang w:val="ru-RU" w:eastAsia="ru-RU" w:bidi="ar-SA"/>
        </w:rPr>
        <w:t>06.2024</w:t>
      </w: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 г. № 153 </w:t>
      </w:r>
      <w:r>
        <w:rPr>
          <w:sz w:val="28"/>
          <w:szCs w:val="28"/>
        </w:rPr>
        <w:t xml:space="preserve">                                                        </w:t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08"/>
          <w:tab w:val="left" w:pos="360" w:leader="none"/>
          <w:tab w:val="left" w:pos="653" w:leader="none"/>
        </w:tabs>
        <w:spacing w:lineRule="auto" w:line="240"/>
        <w:jc w:val="both"/>
        <w:rPr>
          <w:sz w:val="26"/>
          <w:szCs w:val="26"/>
        </w:rPr>
      </w:pPr>
      <w:r>
        <w:rPr>
          <w:rFonts w:eastAsia="Lucida Sans Unicode" w:cs="Tahoma"/>
          <w:b w:val="false"/>
          <w:bCs w:val="false"/>
          <w:color w:val="auto"/>
          <w:sz w:val="24"/>
          <w:szCs w:val="24"/>
          <w:lang w:val="ru-RU" w:eastAsia="ru-RU" w:bidi="ru-RU"/>
        </w:rPr>
        <w:t>Администрация   Мордовско- Козловского  сельского  поселения  Атюрьевского муниципального   района Республики  Мордовия  направляет в Ваш адрес проект решения «</w:t>
      </w:r>
      <w:r>
        <w:rPr>
          <w:rFonts w:eastAsia="Times New Roman" w:cs="Calibri"/>
          <w:b w:val="false"/>
          <w:bCs w:val="false"/>
          <w:color w:val="auto"/>
          <w:sz w:val="24"/>
          <w:szCs w:val="24"/>
          <w:lang w:val="ru-RU" w:eastAsia="ru-RU" w:bidi="ar-SA"/>
        </w:rPr>
        <w:t xml:space="preserve">О ВНЕСЕНИИ ИЗМЕНЕНИЙ В РЕШЕНИЕ СОВЕТА ДЕПУТАТОВ  «ОБ УСТАНОВЛЕНИИ </w:t>
      </w:r>
      <w:r>
        <w:rPr>
          <w:rFonts w:eastAsia="Times New Roman" w:cs="Calibri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НАЛОГА НА ИМУЩЕСТВО ФИЗИЧЕСКИХ ЛИЦ</w:t>
      </w:r>
      <w:r>
        <w:rPr>
          <w:rFonts w:eastAsia="Times New Roman" w:cs="Calibri"/>
          <w:b/>
          <w:bCs/>
          <w:color w:val="auto"/>
          <w:sz w:val="28"/>
          <w:szCs w:val="28"/>
          <w:lang w:val="ru-RU" w:eastAsia="ru-RU" w:bidi="ar-SA"/>
        </w:rPr>
        <w:t>»</w:t>
      </w:r>
      <w:r>
        <w:rPr>
          <w:rFonts w:eastAsia="Calibri" w:cs="Times New Roman"/>
          <w:b w:val="false"/>
          <w:bCs w:val="false"/>
          <w:color w:val="auto"/>
          <w:sz w:val="22"/>
          <w:szCs w:val="22"/>
          <w:lang w:val="ru-RU" w:eastAsia="ru-RU" w:bidi="ru-RU"/>
        </w:rPr>
        <w:t>»</w:t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  <w:t>Глава Мордовско - Козловского</w:t>
      </w:r>
    </w:p>
    <w:p>
      <w:pPr>
        <w:pStyle w:val="Normal"/>
        <w:spacing w:lineRule="auto" w:line="240"/>
        <w:ind w:left="0" w:right="0" w:hanging="0"/>
        <w:jc w:val="both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color w:val="auto"/>
          <w:sz w:val="26"/>
          <w:szCs w:val="26"/>
          <w:lang w:val="ru-RU" w:eastAsia="ru-RU" w:bidi="ar-SA"/>
        </w:rPr>
        <w:t>сельского поселения                                      В.Н.Шукшин</w:t>
      </w:r>
    </w:p>
    <w:p>
      <w:pPr>
        <w:pStyle w:val="Normal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Style23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Style23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Style23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Style23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Style23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Style23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Style23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Style23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Style23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Style23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Style23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Style23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Style23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ПРОЕКТ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РЕСПУБЛИКА МОРДОВИЯ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 xml:space="preserve">СОВЕТ ДЕПУТАТОВ МОРДОВСКО-КОЗЛОВСКОГО СЕЛЬСКОГО ПОСЕЛЕНИЯ АТЮРЬЕВСКОГО МУНИЦИПАЛЬНОГО РАЙОНА 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от        2024 года № </w:t>
      </w:r>
    </w:p>
    <w:p>
      <w:pPr>
        <w:pStyle w:val="Style23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23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О ВНЕСЕНИИ ИЗМЕНЕНИЙ В РЕШЕНИЕ СОВЕТА ДЕПУТАТОВ  «ОБ УСТАНОВЛЕНИИ </w:t>
      </w:r>
      <w:r>
        <w:rPr>
          <w:rFonts w:eastAsia="Times New Roman" w:cs="Calibri"/>
          <w:b/>
          <w:bCs/>
          <w:color w:val="auto"/>
          <w:kern w:val="0"/>
          <w:sz w:val="32"/>
          <w:szCs w:val="32"/>
          <w:lang w:val="ru-RU" w:eastAsia="ru-RU" w:bidi="ar-SA"/>
        </w:rPr>
        <w:t>НАЛОГА НА ИМУЩЕСТВО ФИЗИЧЕСКИХ ЛИЦ</w:t>
      </w:r>
      <w:r>
        <w:rPr>
          <w:rFonts w:eastAsia="Times New Roman" w:cs="Calibri"/>
          <w:b/>
          <w:bCs/>
          <w:color w:val="auto"/>
          <w:sz w:val="28"/>
          <w:szCs w:val="28"/>
          <w:lang w:val="ru-RU" w:eastAsia="ru-RU" w:bidi="ar-SA"/>
        </w:rPr>
        <w:t>»</w:t>
      </w:r>
    </w:p>
    <w:p>
      <w:pPr>
        <w:pStyle w:val="Style23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3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0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>В соответствии с главой 32 Налогового кодекса Российской Федерации, Совет депутатов</w:t>
      </w:r>
      <w:r>
        <w:rPr>
          <w:spacing w:val="41"/>
          <w:sz w:val="24"/>
          <w:szCs w:val="24"/>
        </w:rPr>
        <w:t xml:space="preserve"> Мордовско-Козловского сельского поселения реш</w:t>
      </w:r>
      <w:r>
        <w:rPr>
          <w:spacing w:val="-2"/>
          <w:sz w:val="24"/>
          <w:szCs w:val="24"/>
        </w:rPr>
        <w:t>ил:</w:t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sz w:val="27"/>
        </w:rPr>
      </w:pPr>
      <w:r>
        <w:rPr>
          <w:sz w:val="24"/>
          <w:szCs w:val="24"/>
        </w:rPr>
        <w:t>Внести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 решение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Совета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депутатов</w:t>
      </w:r>
      <w:r>
        <w:rPr>
          <w:spacing w:val="70"/>
          <w:sz w:val="24"/>
          <w:szCs w:val="24"/>
        </w:rPr>
        <w:t xml:space="preserve"> </w:t>
      </w:r>
      <w:r>
        <w:rPr>
          <w:spacing w:val="70"/>
          <w:sz w:val="24"/>
          <w:szCs w:val="24"/>
          <w:u w:val="none" w:color="282828"/>
        </w:rPr>
        <w:t xml:space="preserve">Мордовско-Козловского сельского поселения от 24.11.2014 №75 </w:t>
      </w:r>
      <w:r>
        <w:rPr>
          <w:spacing w:val="-4"/>
          <w:sz w:val="24"/>
          <w:szCs w:val="24"/>
        </w:rPr>
        <w:t xml:space="preserve">«Об </w:t>
      </w:r>
      <w:r>
        <w:rPr>
          <w:sz w:val="24"/>
          <w:szCs w:val="24"/>
        </w:rPr>
        <w:t>установлении налога на имущество физических лиц» изменение, дополнив пунктом</w:t>
      </w:r>
      <w:r>
        <w:rPr>
          <w:spacing w:val="40"/>
          <w:sz w:val="24"/>
          <w:szCs w:val="24"/>
        </w:rPr>
        <w:t xml:space="preserve"> </w:t>
      </w:r>
      <w:r>
        <w:rPr>
          <w:spacing w:val="80"/>
          <w:sz w:val="24"/>
          <w:szCs w:val="24"/>
          <w:u w:val="none" w:color="3F3F3F"/>
        </w:rPr>
        <w:t>4</w:t>
      </w:r>
      <w:r>
        <w:rPr>
          <w:sz w:val="24"/>
          <w:szCs w:val="24"/>
        </w:rPr>
        <w:t>следующего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содержания:</w:t>
      </w:r>
    </w:p>
    <w:p>
      <w:pPr>
        <w:pStyle w:val="Normal"/>
        <w:rPr>
          <w:sz w:val="20"/>
        </w:rPr>
      </w:pPr>
      <w:r>
        <w:rPr>
          <w:sz w:val="24"/>
          <w:szCs w:val="24"/>
        </w:rPr>
        <w:t>«Физические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лица</w:t>
      </w:r>
      <w:r>
        <w:rPr>
          <w:spacing w:val="4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—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отношении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объектов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недвижимого имущества,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подлежащих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налогообложению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исходя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из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кадастровой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стоимости и указанных в подпункте </w:t>
      </w:r>
      <w:r>
        <w:rPr>
          <w:spacing w:val="80"/>
          <w:w w:val="150"/>
          <w:sz w:val="24"/>
          <w:szCs w:val="24"/>
          <w:u w:val="none" w:color="181818"/>
        </w:rPr>
        <w:t>1</w:t>
      </w:r>
      <w:r>
        <w:rPr>
          <w:sz w:val="24"/>
          <w:szCs w:val="24"/>
        </w:rPr>
        <w:t xml:space="preserve">пункта </w:t>
      </w:r>
      <w:r>
        <w:rPr>
          <w:i w:val="false"/>
          <w:iCs w:val="false"/>
          <w:sz w:val="24"/>
          <w:szCs w:val="24"/>
          <w:u w:val="none"/>
        </w:rPr>
        <w:t>2</w:t>
      </w:r>
      <w:r>
        <w:rPr>
          <w:i w:val="false"/>
          <w:iCs w:val="false"/>
          <w:spacing w:val="80"/>
          <w:w w:val="150"/>
          <w:sz w:val="24"/>
          <w:szCs w:val="24"/>
          <w:u w:val="none"/>
        </w:rPr>
        <w:t xml:space="preserve"> </w:t>
      </w:r>
      <w:r>
        <w:rPr>
          <w:i w:val="false"/>
          <w:iCs w:val="false"/>
          <w:sz w:val="24"/>
          <w:szCs w:val="24"/>
          <w:u w:val="none" w:color="181818"/>
        </w:rPr>
        <w:t>настоящего</w:t>
      </w:r>
      <w:r>
        <w:rPr>
          <w:sz w:val="24"/>
          <w:szCs w:val="24"/>
        </w:rPr>
        <w:t xml:space="preserve"> Решения, включенных в перечень, определяемый в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соответствии с пунктом 7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статьи 378.2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Налогового кодекса Российской Федерации, а также объектов налогообложения, предусмотренных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абзаце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втором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пункта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10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статьи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378.2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Налогового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кодекса Российской Федерации (за исключением гаражей и машино-мест, расположенных в таких объектах налогообложения),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величиной кадастровой стоимости указанных объектов недвижимого имущества, внесенной в Единый государственный</w:t>
      </w:r>
      <w:r>
        <w:rPr>
          <w:spacing w:val="65"/>
          <w:sz w:val="24"/>
          <w:szCs w:val="24"/>
        </w:rPr>
        <w:t xml:space="preserve">  </w:t>
      </w:r>
      <w:r>
        <w:rPr>
          <w:sz w:val="24"/>
          <w:szCs w:val="24"/>
        </w:rPr>
        <w:t>реестр</w:t>
      </w:r>
      <w:r>
        <w:rPr>
          <w:spacing w:val="78"/>
          <w:sz w:val="24"/>
          <w:szCs w:val="24"/>
        </w:rPr>
        <w:t xml:space="preserve">  </w:t>
      </w:r>
      <w:r>
        <w:rPr>
          <w:sz w:val="24"/>
          <w:szCs w:val="24"/>
        </w:rPr>
        <w:t>недвижимости</w:t>
      </w:r>
      <w:r>
        <w:rPr>
          <w:spacing w:val="80"/>
          <w:sz w:val="24"/>
          <w:szCs w:val="24"/>
        </w:rPr>
        <w:t xml:space="preserve">  </w:t>
      </w:r>
      <w:r>
        <w:rPr>
          <w:sz w:val="24"/>
          <w:szCs w:val="24"/>
        </w:rPr>
        <w:t>и</w:t>
      </w:r>
      <w:r>
        <w:rPr>
          <w:spacing w:val="72"/>
          <w:sz w:val="24"/>
          <w:szCs w:val="24"/>
        </w:rPr>
        <w:t xml:space="preserve">  </w:t>
      </w:r>
      <w:r>
        <w:rPr>
          <w:sz w:val="24"/>
          <w:szCs w:val="24"/>
        </w:rPr>
        <w:t>подлежащей</w:t>
      </w:r>
      <w:r>
        <w:rPr>
          <w:spacing w:val="79"/>
          <w:sz w:val="24"/>
          <w:szCs w:val="24"/>
        </w:rPr>
        <w:t xml:space="preserve">  </w:t>
      </w:r>
      <w:r>
        <w:rPr>
          <w:sz w:val="24"/>
          <w:szCs w:val="24"/>
        </w:rPr>
        <w:t>применению</w:t>
      </w:r>
      <w:r>
        <w:rPr>
          <w:spacing w:val="78"/>
          <w:sz w:val="24"/>
          <w:szCs w:val="24"/>
        </w:rPr>
        <w:t xml:space="preserve">  </w:t>
      </w:r>
      <w:r>
        <w:rPr>
          <w:sz w:val="24"/>
          <w:szCs w:val="24"/>
        </w:rPr>
        <w:t xml:space="preserve">с </w:t>
      </w:r>
      <w:r>
        <w:rPr>
          <w:color w:val="151515"/>
          <w:sz w:val="24"/>
          <w:szCs w:val="24"/>
        </w:rPr>
        <w:t xml:space="preserve">1 </w:t>
      </w:r>
      <w:r>
        <w:rPr>
          <w:sz w:val="24"/>
          <w:szCs w:val="24"/>
        </w:rPr>
        <w:t>января 2023 года, имеют право на налоговую льготу за налоговые период в 2024, 2025 и 2026 годов.</w:t>
      </w:r>
    </w:p>
    <w:p>
      <w:pPr>
        <w:pStyle w:val="Normal"/>
        <w:rPr>
          <w:sz w:val="20"/>
        </w:rPr>
      </w:pPr>
      <w:r>
        <w:rPr>
          <w:sz w:val="24"/>
          <w:szCs w:val="24"/>
        </w:rPr>
        <w:t>Налоговая льгота, предусмотренная в части третьей настоящего пункта, предоставляется при соблюдении условия:</w:t>
      </w:r>
    </w:p>
    <w:p>
      <w:pPr>
        <w:pStyle w:val="Normal"/>
        <w:rPr>
          <w:sz w:val="20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page">
                  <wp:posOffset>4965065</wp:posOffset>
                </wp:positionH>
                <wp:positionV relativeFrom="paragraph">
                  <wp:posOffset>1178560</wp:posOffset>
                </wp:positionV>
                <wp:extent cx="249555" cy="3810"/>
                <wp:effectExtent l="0" t="0" r="0" b="0"/>
                <wp:wrapNone/>
                <wp:docPr id="1" name="Graphic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760" cy="32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47015" h="0">
                              <a:moveTo>
                                <a:pt x="0" y="0"/>
                              </a:moveTo>
                              <a:lnTo>
                                <a:pt x="246888" y="0"/>
                              </a:lnTo>
                            </a:path>
                          </a:pathLst>
                        </a:custGeom>
                        <a:noFill/>
                        <a:ln w="12240">
                          <a:solidFill>
                            <a:srgbClr val="484848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w w:val="105"/>
          <w:sz w:val="24"/>
          <w:szCs w:val="24"/>
        </w:rPr>
        <w:t xml:space="preserve">за налоговый период 2024 года </w:t>
      </w:r>
      <w:r>
        <w:rPr>
          <w:w w:val="90"/>
          <w:sz w:val="24"/>
          <w:szCs w:val="24"/>
        </w:rPr>
        <w:t xml:space="preserve">— </w:t>
      </w:r>
      <w:r>
        <w:rPr>
          <w:w w:val="105"/>
          <w:sz w:val="24"/>
          <w:szCs w:val="24"/>
        </w:rPr>
        <w:t xml:space="preserve">сумма налога на имущество физических лиц, исчисленная исходя из кадастровой стоимости объекта недвижимого имущества (без учета положений пунктов 4, 5 и </w:t>
      </w:r>
      <w:r>
        <w:rPr>
          <w:color w:val="1C1C1C"/>
          <w:w w:val="105"/>
          <w:sz w:val="24"/>
          <w:szCs w:val="24"/>
        </w:rPr>
        <w:t xml:space="preserve">6 </w:t>
      </w:r>
      <w:r>
        <w:rPr>
          <w:w w:val="105"/>
          <w:sz w:val="24"/>
          <w:szCs w:val="24"/>
        </w:rPr>
        <w:t>статьи 408 Налогового кодекса Российской Федерации), внесенной в Единый государственный</w:t>
      </w:r>
      <w:r>
        <w:rPr>
          <w:spacing w:val="67"/>
          <w:w w:val="105"/>
          <w:sz w:val="24"/>
          <w:szCs w:val="24"/>
        </w:rPr>
        <w:t xml:space="preserve">  </w:t>
      </w:r>
      <w:r>
        <w:rPr>
          <w:w w:val="105"/>
          <w:sz w:val="24"/>
          <w:szCs w:val="24"/>
        </w:rPr>
        <w:t>реестр</w:t>
      </w:r>
      <w:r>
        <w:rPr>
          <w:spacing w:val="74"/>
          <w:w w:val="105"/>
          <w:sz w:val="24"/>
          <w:szCs w:val="24"/>
        </w:rPr>
        <w:t xml:space="preserve">  </w:t>
      </w:r>
      <w:r>
        <w:rPr>
          <w:w w:val="105"/>
          <w:sz w:val="24"/>
          <w:szCs w:val="24"/>
        </w:rPr>
        <w:t>недвижимости</w:t>
      </w:r>
      <w:r>
        <w:rPr>
          <w:spacing w:val="80"/>
          <w:w w:val="105"/>
          <w:sz w:val="24"/>
          <w:szCs w:val="24"/>
        </w:rPr>
        <w:t xml:space="preserve">  </w:t>
      </w:r>
      <w:r>
        <w:rPr>
          <w:w w:val="105"/>
          <w:sz w:val="24"/>
          <w:szCs w:val="24"/>
        </w:rPr>
        <w:t>и</w:t>
      </w:r>
      <w:r>
        <w:rPr>
          <w:spacing w:val="72"/>
          <w:w w:val="105"/>
          <w:sz w:val="24"/>
          <w:szCs w:val="24"/>
        </w:rPr>
        <w:t xml:space="preserve">  </w:t>
      </w:r>
      <w:r>
        <w:rPr>
          <w:w w:val="105"/>
          <w:sz w:val="24"/>
          <w:szCs w:val="24"/>
        </w:rPr>
        <w:t>подлежащей</w:t>
      </w:r>
      <w:r>
        <w:rPr>
          <w:spacing w:val="80"/>
          <w:w w:val="105"/>
          <w:sz w:val="24"/>
          <w:szCs w:val="24"/>
        </w:rPr>
        <w:t xml:space="preserve">  </w:t>
      </w:r>
      <w:r>
        <w:rPr>
          <w:w w:val="105"/>
          <w:sz w:val="24"/>
          <w:szCs w:val="24"/>
        </w:rPr>
        <w:t>применению с 1 января</w:t>
      </w:r>
      <w:r>
        <w:rPr>
          <w:spacing w:val="40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года налогового периода, превышает на 40 процентов (включительно) и более сумму налога, исчисленную исходя из кадастровой стоимости</w:t>
      </w:r>
      <w:r>
        <w:rPr>
          <w:spacing w:val="-7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объекта</w:t>
      </w:r>
      <w:r>
        <w:rPr>
          <w:spacing w:val="-11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недвижимого</w:t>
      </w:r>
      <w:r>
        <w:rPr>
          <w:spacing w:val="-9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имущества</w:t>
      </w:r>
      <w:r>
        <w:rPr>
          <w:spacing w:val="-10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(без</w:t>
      </w:r>
      <w:r>
        <w:rPr>
          <w:spacing w:val="-17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учета</w:t>
      </w:r>
      <w:r>
        <w:rPr>
          <w:spacing w:val="-14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положений</w:t>
      </w:r>
      <w:r>
        <w:rPr>
          <w:spacing w:val="-10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пунктов</w:t>
      </w:r>
      <w:r>
        <w:rPr>
          <w:spacing w:val="-16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 xml:space="preserve">4, 5 и </w:t>
      </w:r>
      <w:r>
        <w:rPr>
          <w:color w:val="0E0E0E"/>
          <w:w w:val="105"/>
          <w:sz w:val="24"/>
          <w:szCs w:val="24"/>
        </w:rPr>
        <w:t xml:space="preserve">6 </w:t>
      </w:r>
      <w:r>
        <w:rPr>
          <w:w w:val="105"/>
          <w:sz w:val="24"/>
          <w:szCs w:val="24"/>
        </w:rPr>
        <w:t>статьи 408 Налогового кодекса Российской Федерации), внесенной в Единый</w:t>
      </w:r>
      <w:r>
        <w:rPr>
          <w:spacing w:val="-18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государственный</w:t>
      </w:r>
      <w:r>
        <w:rPr>
          <w:spacing w:val="-18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реестр</w:t>
      </w:r>
      <w:r>
        <w:rPr>
          <w:spacing w:val="-18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недвижимости</w:t>
      </w:r>
      <w:r>
        <w:rPr>
          <w:spacing w:val="-17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и</w:t>
      </w:r>
      <w:r>
        <w:rPr>
          <w:spacing w:val="-18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подлежащей</w:t>
      </w:r>
      <w:r>
        <w:rPr>
          <w:spacing w:val="-16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применению</w:t>
      </w:r>
      <w:r>
        <w:rPr>
          <w:spacing w:val="-18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 xml:space="preserve">с 1 января 2023 года </w:t>
      </w:r>
      <w:r>
        <w:rPr>
          <w:sz w:val="24"/>
          <w:szCs w:val="24"/>
        </w:rPr>
        <w:t xml:space="preserve">за налоговый период 2025 года </w:t>
      </w:r>
      <w:r>
        <w:rPr>
          <w:w w:val="90"/>
          <w:sz w:val="24"/>
          <w:szCs w:val="24"/>
        </w:rPr>
        <w:t xml:space="preserve">— </w:t>
      </w:r>
      <w:r>
        <w:rPr>
          <w:sz w:val="24"/>
          <w:szCs w:val="24"/>
        </w:rPr>
        <w:t>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реестр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недвижимости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подлежащей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применению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с</w:t>
      </w:r>
    </w:p>
    <w:p>
      <w:pPr>
        <w:pStyle w:val="Normal"/>
        <w:rPr>
          <w:sz w:val="28"/>
        </w:rPr>
      </w:pPr>
      <w:r>
        <w:rPr>
          <w:sz w:val="24"/>
          <w:szCs w:val="24"/>
        </w:rPr>
        <w:t>1 января года налогового периода, превышает на 70 процентов (включительно) и более сумму налога, исчисленную исходя из кадастровой стоимости объекта недвижимого имущества (без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учета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положений пунктов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4, 5 и 6 статьи 408 Налогового кодекса Российской Федерации), внесенной в Единый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государственный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реестр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недвижимости 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подлежащей применению с 1 января 2023 года;</w:t>
      </w:r>
    </w:p>
    <w:p>
      <w:pPr>
        <w:pStyle w:val="Normal"/>
        <w:rPr>
          <w:sz w:val="28"/>
        </w:rPr>
      </w:pPr>
      <w:r>
        <w:rPr>
          <w:sz w:val="24"/>
          <w:szCs w:val="24"/>
        </w:rPr>
        <w:t xml:space="preserve">за налоговый период 2026 года </w:t>
      </w:r>
      <w:r>
        <w:rPr>
          <w:w w:val="90"/>
          <w:sz w:val="24"/>
          <w:szCs w:val="24"/>
        </w:rPr>
        <w:t xml:space="preserve">— </w:t>
      </w:r>
      <w:r>
        <w:rPr>
          <w:sz w:val="24"/>
          <w:szCs w:val="24"/>
        </w:rPr>
        <w:t>сумма налога на имущество физических лиц, исчисленная исходя из кадастровой стоимости объекта недвижимого имущества (без yчeтa положений пунктов 4, 5 и 6 статьи 408 Налогового кодекса Российской Федерации), внесенной в Единый государственный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реестр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недвижимости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подлежащей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применению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с</w:t>
      </w:r>
    </w:p>
    <w:p>
      <w:pPr>
        <w:pStyle w:val="Normal"/>
        <w:rPr>
          <w:sz w:val="28"/>
        </w:rPr>
      </w:pPr>
      <w:r>
        <w:rPr>
          <w:sz w:val="24"/>
          <w:szCs w:val="24"/>
        </w:rPr>
        <w:t>1 января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года налогового периода,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превышает на 100 процентов (включительно) и более сумму налога, исчисленную исходя из кадастровой стоимости объекта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недвижимого имущества (без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учета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положений пунктов 4, 5 </w:t>
      </w:r>
      <w:r>
        <w:rPr>
          <w:color w:val="111111"/>
          <w:sz w:val="24"/>
          <w:szCs w:val="24"/>
        </w:rPr>
        <w:t xml:space="preserve">и </w:t>
      </w:r>
      <w:r>
        <w:rPr>
          <w:sz w:val="24"/>
          <w:szCs w:val="24"/>
        </w:rPr>
        <w:t>6 статьи 408 Налогового кодекса Российской Федерации), внесенной в Единый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государственный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реестр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недвижимости и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подлежащей применению с 1 января 2023 года.</w:t>
      </w:r>
    </w:p>
    <w:p>
      <w:pPr>
        <w:pStyle w:val="Normal"/>
        <w:rPr>
          <w:sz w:val="28"/>
        </w:rPr>
      </w:pPr>
      <w:r>
        <w:rPr>
          <w:sz w:val="24"/>
          <w:szCs w:val="24"/>
        </w:rPr>
        <w:t>Налоговая льгота предоставляется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виде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уменьшения суммы налога на имущество физических лиц, подлежащей уплате 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бюджеты муниципальных образований Республики Мордовия, на величину, рассчитываемую за налоговые периоды 2024, 2025 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2026 годов по следующим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формулам:</w:t>
      </w:r>
    </w:p>
    <w:p>
      <w:pPr>
        <w:pStyle w:val="Normal"/>
        <w:rPr>
          <w:sz w:val="28"/>
        </w:rPr>
      </w:pPr>
      <w:r>
        <w:rPr>
          <w:sz w:val="24"/>
          <w:szCs w:val="24"/>
        </w:rPr>
        <w:t>за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налоговый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период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2024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года: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pacing w:val="-10"/>
          <w:position w:val="1"/>
          <w:sz w:val="24"/>
          <w:szCs w:val="24"/>
        </w:rPr>
        <w:t>НЛ= (</w:t>
      </w:r>
      <w:r>
        <w:rPr>
          <w:spacing w:val="-10"/>
          <w:position w:val="1"/>
          <w:sz w:val="24"/>
          <w:szCs w:val="24"/>
          <w:u w:val="single" w:color="1C1C1C"/>
        </w:rPr>
        <w:t>H2024</w:t>
      </w:r>
      <w:r>
        <w:rPr>
          <w:spacing w:val="-81"/>
          <w:position w:val="1"/>
          <w:sz w:val="24"/>
          <w:szCs w:val="24"/>
          <w:u w:val="single" w:color="1C1C1C"/>
        </w:rPr>
        <w:t xml:space="preserve"> </w:t>
      </w:r>
      <w:r>
        <w:rPr>
          <w:spacing w:val="-10"/>
          <w:sz w:val="24"/>
          <w:szCs w:val="24"/>
          <w:u w:val="single" w:color="1C1C1C"/>
        </w:rPr>
        <w:t>—</w:t>
      </w:r>
      <w:r>
        <w:rPr>
          <w:spacing w:val="-5"/>
          <w:sz w:val="24"/>
          <w:szCs w:val="24"/>
          <w:u w:val="single" w:color="1C1C1C"/>
        </w:rPr>
        <w:t xml:space="preserve"> </w:t>
      </w:r>
      <w:r>
        <w:rPr>
          <w:spacing w:val="-10"/>
          <w:sz w:val="24"/>
          <w:szCs w:val="24"/>
          <w:u w:val="single" w:color="1C1C1C"/>
        </w:rPr>
        <w:t>H2023</w:t>
      </w:r>
      <w:r>
        <w:rPr>
          <w:spacing w:val="-4"/>
          <w:sz w:val="24"/>
          <w:szCs w:val="24"/>
          <w:u w:val="single" w:color="1C1C1C"/>
        </w:rPr>
        <w:t xml:space="preserve"> </w:t>
      </w:r>
      <w:r>
        <w:rPr>
          <w:spacing w:val="-10"/>
          <w:sz w:val="24"/>
          <w:szCs w:val="24"/>
          <w:u w:val="single" w:color="1C1C1C"/>
        </w:rPr>
        <w:t>х</w:t>
      </w:r>
      <w:r>
        <w:rPr>
          <w:spacing w:val="10"/>
          <w:sz w:val="24"/>
          <w:szCs w:val="24"/>
          <w:u w:val="single" w:color="1C1C1C"/>
        </w:rPr>
        <w:t xml:space="preserve"> 1,4</w:t>
      </w:r>
      <w:r>
        <w:rPr>
          <w:spacing w:val="-10"/>
          <w:sz w:val="24"/>
          <w:szCs w:val="24"/>
          <w:u w:val="single" w:color="1C1C1C"/>
        </w:rPr>
        <w:t>)</w:t>
      </w:r>
      <w:r>
        <w:rPr>
          <w:color w:val="505050"/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х</w:t>
      </w:r>
      <w:r>
        <w:rPr>
          <w:spacing w:val="-3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х</w:t>
      </w:r>
      <w:r>
        <w:rPr>
          <w:spacing w:val="-1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п,</w:t>
      </w:r>
    </w:p>
    <w:p>
      <w:pPr>
        <w:pStyle w:val="Normal"/>
        <w:rPr>
          <w:sz w:val="28"/>
        </w:rPr>
      </w:pPr>
      <w:r>
        <w:rPr>
          <w:spacing w:val="-5"/>
          <w:sz w:val="24"/>
          <w:szCs w:val="24"/>
        </w:rPr>
        <w:t xml:space="preserve">                           </w:t>
      </w:r>
      <w:r>
        <w:rPr>
          <w:spacing w:val="-5"/>
          <w:sz w:val="24"/>
          <w:szCs w:val="24"/>
        </w:rPr>
        <w:t>12</w:t>
      </w:r>
    </w:p>
    <w:p>
      <w:pPr>
        <w:pStyle w:val="Normal"/>
        <w:rPr>
          <w:sz w:val="28"/>
        </w:rPr>
      </w:pPr>
      <w:r>
        <w:rPr>
          <w:spacing w:val="-5"/>
          <w:position w:val="0"/>
          <w:sz w:val="24"/>
          <w:sz w:val="24"/>
          <w:szCs w:val="24"/>
          <w:vertAlign w:val="baseline"/>
        </w:rPr>
        <w:t>за</w:t>
      </w:r>
      <w:r>
        <w:rPr>
          <w:spacing w:val="-13"/>
          <w:position w:val="0"/>
          <w:sz w:val="24"/>
          <w:sz w:val="24"/>
          <w:szCs w:val="24"/>
          <w:vertAlign w:val="baseline"/>
        </w:rPr>
        <w:t xml:space="preserve"> </w:t>
      </w:r>
      <w:r>
        <w:rPr>
          <w:spacing w:val="-5"/>
          <w:position w:val="0"/>
          <w:sz w:val="24"/>
          <w:sz w:val="24"/>
          <w:szCs w:val="24"/>
          <w:vertAlign w:val="baseline"/>
        </w:rPr>
        <w:t>налоговый</w:t>
      </w:r>
      <w:r>
        <w:rPr>
          <w:spacing w:val="8"/>
          <w:position w:val="0"/>
          <w:sz w:val="24"/>
          <w:sz w:val="24"/>
          <w:szCs w:val="24"/>
          <w:vertAlign w:val="baseline"/>
        </w:rPr>
        <w:t xml:space="preserve"> </w:t>
      </w:r>
      <w:r>
        <w:rPr>
          <w:spacing w:val="-5"/>
          <w:position w:val="0"/>
          <w:sz w:val="24"/>
          <w:sz w:val="24"/>
          <w:szCs w:val="24"/>
          <w:vertAlign w:val="baseline"/>
        </w:rPr>
        <w:t>период</w:t>
      </w:r>
      <w:r>
        <w:rPr>
          <w:spacing w:val="2"/>
          <w:position w:val="0"/>
          <w:sz w:val="24"/>
          <w:sz w:val="24"/>
          <w:szCs w:val="24"/>
          <w:vertAlign w:val="baseline"/>
        </w:rPr>
        <w:t xml:space="preserve"> </w:t>
      </w:r>
      <w:r>
        <w:rPr>
          <w:spacing w:val="-5"/>
          <w:position w:val="0"/>
          <w:sz w:val="24"/>
          <w:sz w:val="24"/>
          <w:szCs w:val="24"/>
          <w:vertAlign w:val="baseline"/>
        </w:rPr>
        <w:t>2025</w:t>
      </w:r>
      <w:r>
        <w:rPr>
          <w:spacing w:val="-4"/>
          <w:position w:val="0"/>
          <w:sz w:val="24"/>
          <w:sz w:val="24"/>
          <w:szCs w:val="24"/>
          <w:vertAlign w:val="baseline"/>
        </w:rPr>
        <w:t xml:space="preserve"> </w:t>
      </w:r>
      <w:r>
        <w:rPr>
          <w:spacing w:val="-2"/>
          <w:position w:val="0"/>
          <w:sz w:val="24"/>
          <w:sz w:val="24"/>
          <w:szCs w:val="24"/>
          <w:vertAlign w:val="baseline"/>
        </w:rPr>
        <w:t>года:</w:t>
      </w:r>
      <w:r>
        <w:rPr>
          <w:spacing w:val="-5"/>
          <w:position w:val="0"/>
          <w:sz w:val="24"/>
          <w:sz w:val="24"/>
          <w:szCs w:val="24"/>
          <w:vertAlign w:val="baseline"/>
        </w:rPr>
        <w:t xml:space="preserve">                            </w:t>
      </w:r>
    </w:p>
    <w:p>
      <w:pPr>
        <w:pStyle w:val="Normal"/>
        <w:rPr>
          <w:sz w:val="28"/>
        </w:rPr>
      </w:pPr>
      <w:r>
        <w:rPr>
          <w:sz w:val="24"/>
          <w:szCs w:val="24"/>
        </w:rPr>
        <w:t xml:space="preserve">                                       </w:t>
      </w:r>
    </w:p>
    <w:p>
      <w:pPr>
        <w:pStyle w:val="Normal"/>
        <w:rPr>
          <w:sz w:val="28"/>
        </w:rPr>
      </w:pPr>
      <w:r>
        <w:rPr>
          <w:spacing w:val="-10"/>
          <w:position w:val="1"/>
          <w:sz w:val="24"/>
          <w:szCs w:val="24"/>
        </w:rPr>
        <w:t>НЛ=     (</w:t>
      </w:r>
      <w:r>
        <w:rPr>
          <w:spacing w:val="-10"/>
          <w:position w:val="1"/>
          <w:sz w:val="24"/>
          <w:szCs w:val="24"/>
          <w:u w:val="single" w:color="1C1C1C"/>
        </w:rPr>
        <w:t>H2025</w:t>
      </w:r>
      <w:r>
        <w:rPr>
          <w:spacing w:val="-81"/>
          <w:position w:val="1"/>
          <w:sz w:val="24"/>
          <w:szCs w:val="24"/>
          <w:u w:val="single" w:color="1C1C1C"/>
        </w:rPr>
        <w:t xml:space="preserve"> </w:t>
      </w:r>
      <w:r>
        <w:rPr>
          <w:spacing w:val="-10"/>
          <w:sz w:val="24"/>
          <w:szCs w:val="24"/>
          <w:u w:val="single" w:color="1C1C1C"/>
        </w:rPr>
        <w:t>—</w:t>
      </w:r>
      <w:r>
        <w:rPr>
          <w:spacing w:val="-5"/>
          <w:sz w:val="24"/>
          <w:szCs w:val="24"/>
          <w:u w:val="single" w:color="1C1C1C"/>
        </w:rPr>
        <w:t xml:space="preserve"> </w:t>
      </w:r>
      <w:r>
        <w:rPr>
          <w:spacing w:val="-10"/>
          <w:sz w:val="24"/>
          <w:szCs w:val="24"/>
          <w:u w:val="single" w:color="1C1C1C"/>
        </w:rPr>
        <w:t>H2023</w:t>
      </w:r>
      <w:r>
        <w:rPr>
          <w:spacing w:val="-4"/>
          <w:sz w:val="24"/>
          <w:szCs w:val="24"/>
          <w:u w:val="single" w:color="1C1C1C"/>
        </w:rPr>
        <w:t xml:space="preserve"> </w:t>
      </w:r>
      <w:r>
        <w:rPr>
          <w:spacing w:val="-10"/>
          <w:sz w:val="24"/>
          <w:szCs w:val="24"/>
          <w:u w:val="single" w:color="1C1C1C"/>
        </w:rPr>
        <w:t>х</w:t>
      </w:r>
      <w:r>
        <w:rPr>
          <w:spacing w:val="10"/>
          <w:sz w:val="24"/>
          <w:szCs w:val="24"/>
          <w:u w:val="single" w:color="1C1C1C"/>
        </w:rPr>
        <w:t xml:space="preserve"> 1,7</w:t>
      </w:r>
      <w:r>
        <w:rPr>
          <w:spacing w:val="-10"/>
          <w:sz w:val="24"/>
          <w:szCs w:val="24"/>
          <w:u w:val="single" w:color="1C1C1C"/>
        </w:rPr>
        <w:t>)</w:t>
      </w:r>
      <w:r>
        <w:rPr>
          <w:color w:val="505050"/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х</w:t>
      </w:r>
      <w:r>
        <w:rPr>
          <w:spacing w:val="-3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х</w:t>
      </w:r>
      <w:r>
        <w:rPr>
          <w:spacing w:val="-1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п,</w:t>
      </w:r>
    </w:p>
    <w:p>
      <w:pPr>
        <w:pStyle w:val="Normal"/>
        <w:rPr>
          <w:sz w:val="28"/>
        </w:rPr>
      </w:pPr>
      <w:r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>12</w:t>
      </w:r>
    </w:p>
    <w:p>
      <w:pPr>
        <w:pStyle w:val="Normal"/>
        <w:rPr>
          <w:sz w:val="28"/>
        </w:rPr>
      </w:pPr>
      <w:r>
        <w:rPr>
          <w:sz w:val="24"/>
          <w:szCs w:val="24"/>
        </w:rPr>
        <w:t>за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налоговый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период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2026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года:</w:t>
      </w:r>
    </w:p>
    <w:p>
      <w:pPr>
        <w:pStyle w:val="Normal"/>
        <w:rPr>
          <w:sz w:val="28"/>
        </w:rPr>
      </w:pPr>
      <w:r>
        <w:rPr>
          <w:sz w:val="24"/>
          <w:szCs w:val="24"/>
        </w:rPr>
        <w:t xml:space="preserve">               </w:t>
      </w:r>
    </w:p>
    <w:p>
      <w:pPr>
        <w:pStyle w:val="Normal"/>
        <w:rPr>
          <w:sz w:val="28"/>
        </w:rPr>
      </w:pPr>
      <w:r>
        <w:rPr>
          <w:spacing w:val="-10"/>
          <w:position w:val="1"/>
          <w:sz w:val="24"/>
          <w:szCs w:val="24"/>
        </w:rPr>
        <w:t>НЛ=     (</w:t>
      </w:r>
      <w:r>
        <w:rPr>
          <w:spacing w:val="-10"/>
          <w:position w:val="1"/>
          <w:sz w:val="24"/>
          <w:szCs w:val="24"/>
          <w:u w:val="single" w:color="1C1C1C"/>
        </w:rPr>
        <w:t>H2026</w:t>
      </w:r>
      <w:r>
        <w:rPr>
          <w:spacing w:val="-81"/>
          <w:position w:val="1"/>
          <w:sz w:val="24"/>
          <w:szCs w:val="24"/>
          <w:u w:val="single" w:color="1C1C1C"/>
        </w:rPr>
        <w:t xml:space="preserve"> </w:t>
      </w:r>
      <w:r>
        <w:rPr>
          <w:spacing w:val="-10"/>
          <w:sz w:val="24"/>
          <w:szCs w:val="24"/>
          <w:u w:val="single" w:color="1C1C1C"/>
        </w:rPr>
        <w:t>—</w:t>
      </w:r>
      <w:r>
        <w:rPr>
          <w:spacing w:val="-5"/>
          <w:sz w:val="24"/>
          <w:szCs w:val="24"/>
          <w:u w:val="single" w:color="1C1C1C"/>
        </w:rPr>
        <w:t xml:space="preserve"> </w:t>
      </w:r>
      <w:r>
        <w:rPr>
          <w:spacing w:val="-10"/>
          <w:sz w:val="24"/>
          <w:szCs w:val="24"/>
          <w:u w:val="single" w:color="1C1C1C"/>
        </w:rPr>
        <w:t>H2023</w:t>
      </w:r>
      <w:r>
        <w:rPr>
          <w:spacing w:val="-4"/>
          <w:sz w:val="24"/>
          <w:szCs w:val="24"/>
          <w:u w:val="single" w:color="1C1C1C"/>
        </w:rPr>
        <w:t xml:space="preserve"> </w:t>
      </w:r>
      <w:r>
        <w:rPr>
          <w:spacing w:val="-10"/>
          <w:sz w:val="24"/>
          <w:szCs w:val="24"/>
          <w:u w:val="single" w:color="1C1C1C"/>
        </w:rPr>
        <w:t>х</w:t>
      </w:r>
      <w:r>
        <w:rPr>
          <w:spacing w:val="10"/>
          <w:sz w:val="24"/>
          <w:szCs w:val="24"/>
          <w:u w:val="single" w:color="1C1C1C"/>
        </w:rPr>
        <w:t xml:space="preserve"> </w:t>
      </w:r>
      <w:r>
        <w:rPr>
          <w:spacing w:val="-10"/>
          <w:sz w:val="24"/>
          <w:szCs w:val="24"/>
          <w:u w:val="single" w:color="1C1C1C"/>
        </w:rPr>
        <w:t>2)</w:t>
      </w:r>
      <w:r>
        <w:rPr>
          <w:color w:val="505050"/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х</w:t>
      </w:r>
      <w:r>
        <w:rPr>
          <w:spacing w:val="-3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х</w:t>
      </w:r>
      <w:r>
        <w:rPr>
          <w:spacing w:val="-1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п,     где:</w:t>
      </w:r>
    </w:p>
    <w:p>
      <w:pPr>
        <w:pStyle w:val="Normal"/>
        <w:rPr>
          <w:sz w:val="28"/>
        </w:rPr>
      </w:pPr>
      <w:r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>12</w:t>
      </w:r>
    </w:p>
    <w:p>
      <w:pPr>
        <w:pStyle w:val="Normal"/>
        <w:rPr>
          <w:sz w:val="28"/>
        </w:rPr>
      </w:pPr>
      <w:r>
        <w:rPr>
          <w:sz w:val="24"/>
          <w:szCs w:val="24"/>
        </w:rPr>
        <w:tab/>
      </w:r>
    </w:p>
    <w:p>
      <w:pPr>
        <w:pStyle w:val="Normal"/>
        <w:rPr>
          <w:sz w:val="28"/>
        </w:rPr>
      </w:pPr>
      <w:r>
        <w:rPr>
          <w:sz w:val="24"/>
          <w:szCs w:val="24"/>
        </w:rPr>
        <w:t>НЛ</w:t>
      </w:r>
      <w:r>
        <w:rPr>
          <w:spacing w:val="-4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—</w:t>
      </w:r>
      <w:r>
        <w:rPr>
          <w:spacing w:val="-1"/>
          <w:w w:val="90"/>
          <w:sz w:val="24"/>
          <w:szCs w:val="24"/>
        </w:rPr>
        <w:t xml:space="preserve"> </w:t>
      </w:r>
      <w:r>
        <w:rPr>
          <w:sz w:val="24"/>
          <w:szCs w:val="24"/>
        </w:rPr>
        <w:t>размер налоговой льготы,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 xml:space="preserve">которую уменьшается сумма налога на имущество физических лиц, исчисленная за 2024, 2025 и 2026 годы </w:t>
      </w:r>
      <w:r>
        <w:rPr>
          <w:spacing w:val="-2"/>
          <w:sz w:val="24"/>
          <w:szCs w:val="24"/>
        </w:rPr>
        <w:t>соответственно;</w:t>
      </w:r>
    </w:p>
    <w:p>
      <w:pPr>
        <w:pStyle w:val="Normal"/>
        <w:rPr>
          <w:sz w:val="28"/>
        </w:rPr>
      </w:pPr>
      <w:r>
        <w:rPr>
          <w:sz w:val="24"/>
          <w:szCs w:val="24"/>
        </w:rPr>
        <w:t xml:space="preserve">H2023 </w:t>
      </w:r>
      <w:r>
        <w:rPr>
          <w:color w:val="0F0F0F"/>
          <w:w w:val="90"/>
          <w:sz w:val="24"/>
          <w:szCs w:val="24"/>
        </w:rPr>
        <w:t xml:space="preserve">— </w:t>
      </w:r>
      <w:r>
        <w:rPr>
          <w:sz w:val="24"/>
          <w:szCs w:val="24"/>
        </w:rPr>
        <w:t>сумма налога на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имущество физических лиц, рассчитанная за налоговый период 2023 года (без учета положений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пунктов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4, 5 и 6 статьи 408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Налогового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кодекса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Российской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Федерации)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74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отношении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 подлежащая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применению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 1 января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2023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года;</w:t>
      </w:r>
    </w:p>
    <w:p>
      <w:pPr>
        <w:pStyle w:val="Normal"/>
        <w:rPr>
          <w:sz w:val="28"/>
        </w:rPr>
      </w:pPr>
      <w:r>
        <w:rPr>
          <w:w w:val="105"/>
          <w:sz w:val="24"/>
          <w:szCs w:val="24"/>
        </w:rPr>
        <w:t>H2024</w:t>
      </w:r>
      <w:r>
        <w:rPr>
          <w:spacing w:val="-2"/>
          <w:w w:val="105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—</w:t>
      </w:r>
      <w:r>
        <w:rPr>
          <w:spacing w:val="-1"/>
          <w:w w:val="90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сумма налога</w:t>
      </w:r>
      <w:r>
        <w:rPr>
          <w:spacing w:val="-1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на</w:t>
      </w:r>
      <w:r>
        <w:rPr>
          <w:spacing w:val="-7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имущество</w:t>
      </w:r>
      <w:r>
        <w:rPr>
          <w:spacing w:val="-1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физических лиц,</w:t>
      </w:r>
      <w:r>
        <w:rPr>
          <w:spacing w:val="-6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рассчитанная за налоговый период 2024</w:t>
      </w:r>
      <w:r>
        <w:rPr>
          <w:spacing w:val="-1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 xml:space="preserve">года (без yчeтa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</w:t>
      </w:r>
      <w:r>
        <w:rPr>
          <w:spacing w:val="-2"/>
          <w:w w:val="105"/>
          <w:sz w:val="24"/>
          <w:szCs w:val="24"/>
        </w:rPr>
        <w:t>периода;</w:t>
      </w:r>
    </w:p>
    <w:p>
      <w:pPr>
        <w:pStyle w:val="Normal"/>
        <w:rPr>
          <w:sz w:val="28"/>
        </w:rPr>
      </w:pPr>
      <w:r>
        <w:rPr>
          <w:w w:val="105"/>
          <w:sz w:val="24"/>
          <w:szCs w:val="24"/>
        </w:rPr>
        <w:t>H2025</w:t>
      </w:r>
      <w:r>
        <w:rPr>
          <w:spacing w:val="-2"/>
          <w:w w:val="10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—</w:t>
      </w:r>
      <w:r>
        <w:rPr>
          <w:spacing w:val="-5"/>
          <w:w w:val="9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сумма</w:t>
      </w:r>
      <w:r>
        <w:rPr>
          <w:spacing w:val="-5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налога</w:t>
      </w:r>
      <w:r>
        <w:rPr>
          <w:spacing w:val="-2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на</w:t>
      </w:r>
      <w:r>
        <w:rPr>
          <w:spacing w:val="-14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имущество физических лиц,</w:t>
      </w:r>
      <w:r>
        <w:rPr>
          <w:spacing w:val="-6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рассчитанная за налоговый период 2025</w:t>
      </w:r>
      <w:r>
        <w:rPr>
          <w:spacing w:val="-1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 xml:space="preserve">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</w:t>
      </w:r>
      <w:r>
        <w:rPr>
          <w:spacing w:val="-2"/>
          <w:w w:val="105"/>
          <w:sz w:val="24"/>
          <w:szCs w:val="24"/>
        </w:rPr>
        <w:t>периода;</w:t>
      </w:r>
    </w:p>
    <w:p>
      <w:pPr>
        <w:pStyle w:val="Normal"/>
        <w:rPr>
          <w:sz w:val="28"/>
        </w:rPr>
      </w:pPr>
      <w:r>
        <w:rPr>
          <w:w w:val="105"/>
          <w:sz w:val="24"/>
          <w:szCs w:val="24"/>
        </w:rPr>
        <w:t xml:space="preserve">H2026 </w:t>
      </w:r>
      <w:r>
        <w:rPr>
          <w:w w:val="90"/>
          <w:sz w:val="24"/>
          <w:szCs w:val="24"/>
        </w:rPr>
        <w:t>—</w:t>
      </w:r>
      <w:r>
        <w:rPr>
          <w:spacing w:val="-1"/>
          <w:w w:val="90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сумма</w:t>
      </w:r>
      <w:r>
        <w:rPr>
          <w:spacing w:val="-5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налога</w:t>
      </w:r>
      <w:r>
        <w:rPr>
          <w:spacing w:val="-6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на</w:t>
      </w:r>
      <w:r>
        <w:rPr>
          <w:spacing w:val="-10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имущество физических лиц,</w:t>
      </w:r>
      <w:r>
        <w:rPr>
          <w:spacing w:val="-6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 xml:space="preserve">рассчитанная за налоговый период 2026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</w:t>
      </w:r>
      <w:r>
        <w:rPr>
          <w:spacing w:val="-2"/>
          <w:w w:val="105"/>
          <w:sz w:val="24"/>
          <w:szCs w:val="24"/>
        </w:rPr>
        <w:t>периода;</w:t>
      </w:r>
    </w:p>
    <w:p>
      <w:pPr>
        <w:pStyle w:val="Normal"/>
        <w:rPr>
          <w:sz w:val="28"/>
        </w:rPr>
      </w:pPr>
      <w:r>
        <w:rPr>
          <w:color w:val="181818"/>
          <w:sz w:val="24"/>
          <w:szCs w:val="24"/>
        </w:rPr>
        <w:t xml:space="preserve">d </w:t>
      </w:r>
      <w:r>
        <w:rPr>
          <w:w w:val="90"/>
          <w:sz w:val="24"/>
          <w:szCs w:val="24"/>
        </w:rPr>
        <w:t xml:space="preserve">— </w:t>
      </w:r>
      <w:r>
        <w:rPr>
          <w:sz w:val="24"/>
          <w:szCs w:val="24"/>
        </w:rPr>
        <w:t>доля в праве собственности на объект недвижимого имущества в налоговом периоде, в котором у налогоплательщика имелось право на применение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налоговой льготы;</w:t>
      </w:r>
    </w:p>
    <w:p>
      <w:pPr>
        <w:pStyle w:val="Normal"/>
        <w:rPr>
          <w:sz w:val="28"/>
        </w:rPr>
      </w:pPr>
      <w:r>
        <w:rPr>
          <w:sz w:val="24"/>
          <w:szCs w:val="24"/>
        </w:rPr>
        <w:t xml:space="preserve">n </w:t>
      </w:r>
      <w:r>
        <w:rPr>
          <w:w w:val="90"/>
          <w:sz w:val="24"/>
          <w:szCs w:val="24"/>
        </w:rPr>
        <w:t xml:space="preserve">— </w:t>
      </w:r>
      <w:r>
        <w:rPr>
          <w:sz w:val="24"/>
          <w:szCs w:val="24"/>
        </w:rPr>
        <w:t>количество полных месяцев владения объектом недвижимого имущества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 налоговом периоде, в котором у налогоплательщика имелось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право на применение налоговой льготы.</w:t>
      </w:r>
    </w:p>
    <w:p>
      <w:pPr>
        <w:pStyle w:val="Normal"/>
        <w:rPr>
          <w:sz w:val="28"/>
        </w:rPr>
      </w:pPr>
      <w:r>
        <w:rPr>
          <w:sz w:val="24"/>
          <w:szCs w:val="24"/>
        </w:rPr>
        <w:t>В целях настоящего пункта показатели H2023, H2024, H2025 и H2026 рассчитываются без учета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льгот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 налогу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 имущество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физических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лиц, право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применение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которых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предоставлено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физическим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лицам,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являющимся плательщиками налога на имущество физических лиц, в соответствующих налоговых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периодах.».</w:t>
      </w:r>
    </w:p>
    <w:p>
      <w:pPr>
        <w:pStyle w:val="Normal"/>
        <w:rPr>
          <w:sz w:val="27"/>
        </w:rPr>
      </w:pPr>
      <w:r>
        <w:rPr>
          <w:bCs/>
          <w:iCs/>
          <w:w w:val="105"/>
          <w:sz w:val="24"/>
          <w:szCs w:val="24"/>
        </w:rPr>
        <w:t>Настоящее решение вступает в</w:t>
      </w:r>
      <w:r>
        <w:rPr>
          <w:bCs/>
          <w:iCs/>
          <w:spacing w:val="-12"/>
          <w:w w:val="105"/>
          <w:sz w:val="24"/>
          <w:szCs w:val="24"/>
        </w:rPr>
        <w:t xml:space="preserve"> </w:t>
      </w:r>
      <w:r>
        <w:rPr>
          <w:bCs/>
          <w:iCs/>
          <w:w w:val="105"/>
          <w:sz w:val="24"/>
          <w:szCs w:val="24"/>
        </w:rPr>
        <w:t>силу со</w:t>
      </w:r>
      <w:r>
        <w:rPr>
          <w:bCs/>
          <w:iCs/>
          <w:spacing w:val="-5"/>
          <w:w w:val="105"/>
          <w:sz w:val="24"/>
          <w:szCs w:val="24"/>
        </w:rPr>
        <w:t xml:space="preserve"> </w:t>
      </w:r>
      <w:r>
        <w:rPr>
          <w:bCs/>
          <w:iCs/>
          <w:w w:val="105"/>
          <w:sz w:val="24"/>
          <w:szCs w:val="24"/>
        </w:rPr>
        <w:t>дня, следующего за</w:t>
      </w:r>
      <w:r>
        <w:rPr>
          <w:bCs/>
          <w:iCs/>
          <w:spacing w:val="-3"/>
          <w:w w:val="105"/>
          <w:sz w:val="24"/>
          <w:szCs w:val="24"/>
        </w:rPr>
        <w:t xml:space="preserve"> </w:t>
      </w:r>
      <w:r>
        <w:rPr>
          <w:bCs/>
          <w:iCs/>
          <w:w w:val="105"/>
          <w:sz w:val="24"/>
          <w:szCs w:val="24"/>
        </w:rPr>
        <w:t>днем его официального опубликования, и распространяет свое действие на правоотношения,</w:t>
      </w:r>
      <w:r>
        <w:rPr>
          <w:bCs/>
          <w:iCs/>
          <w:spacing w:val="-1"/>
          <w:w w:val="105"/>
          <w:sz w:val="24"/>
          <w:szCs w:val="24"/>
        </w:rPr>
        <w:t xml:space="preserve"> </w:t>
      </w:r>
      <w:r>
        <w:rPr>
          <w:bCs/>
          <w:iCs/>
          <w:w w:val="105"/>
          <w:sz w:val="24"/>
          <w:szCs w:val="24"/>
        </w:rPr>
        <w:t>возникшие с 1 января 2024 года.</w:t>
      </w:r>
    </w:p>
    <w:sectPr>
      <w:type w:val="nextPage"/>
      <w:pgSz w:w="11906" w:h="16838"/>
      <w:pgMar w:left="1155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next w:val="Style23"/>
    <w:qFormat/>
    <w:rsid w:val="00875d4a"/>
    <w:pPr>
      <w:widowControl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сноски Знак"/>
    <w:basedOn w:val="DefaultParagraphFont"/>
    <w:link w:val="a0"/>
    <w:qFormat/>
    <w:rsid w:val="00875d4a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6f5368"/>
    <w:rPr>
      <w:rFonts w:ascii="Tahoma" w:hAnsi="Tahoma" w:eastAsia="Times New Roman" w:cs="Tahoma"/>
      <w:sz w:val="16"/>
      <w:szCs w:val="16"/>
      <w:lang w:eastAsia="ru-RU"/>
    </w:rPr>
  </w:style>
  <w:style w:type="character" w:styleId="Style16">
    <w:name w:val="Основной текст_"/>
    <w:basedOn w:val="DefaultParagraphFont"/>
    <w:qFormat/>
    <w:rPr>
      <w:rFonts w:ascii="Times New Roman" w:hAnsi="Times New Roman" w:eastAsia="Times New Roman" w:cs="Times New Roman"/>
      <w:spacing w:val="2"/>
      <w:shd w:fill="FFFFFF" w:val="clear"/>
    </w:rPr>
  </w:style>
  <w:style w:type="character" w:styleId="1">
    <w:name w:val="Основной текст1"/>
    <w:basedOn w:val="Style16"/>
    <w:qFormat/>
    <w:rPr>
      <w:rFonts w:ascii="Times New Roman" w:hAnsi="Times New Roman" w:eastAsia="Times New Roman" w:cs="Times New Roman"/>
      <w:color w:val="000000"/>
      <w:spacing w:val="2"/>
      <w:w w:val="100"/>
      <w:sz w:val="24"/>
      <w:szCs w:val="24"/>
      <w:shd w:fill="FFFFFF" w:val="clear"/>
      <w:lang w:val="ru-RU" w:eastAsia="ru-RU" w:bidi="ru-RU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>
    <w:name w:val="Footnote Text"/>
    <w:basedOn w:val="Normal"/>
    <w:link w:val="a4"/>
    <w:unhideWhenUsed/>
    <w:rsid w:val="00875d4a"/>
    <w:pPr/>
    <w:rPr>
      <w:szCs w:val="20"/>
    </w:rPr>
  </w:style>
  <w:style w:type="paragraph" w:styleId="ListParagraph">
    <w:name w:val="List Paragraph"/>
    <w:basedOn w:val="Normal"/>
    <w:uiPriority w:val="34"/>
    <w:qFormat/>
    <w:rsid w:val="00d8564f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6f5368"/>
    <w:pPr/>
    <w:rPr>
      <w:rFonts w:ascii="Tahoma" w:hAnsi="Tahoma" w:cs="Tahoma"/>
      <w:sz w:val="16"/>
      <w:szCs w:val="16"/>
    </w:rPr>
  </w:style>
  <w:style w:type="paragraph" w:styleId="4">
    <w:name w:val="Основной текст4"/>
    <w:basedOn w:val="Normal"/>
    <w:qFormat/>
    <w:pPr>
      <w:widowControl w:val="false"/>
      <w:shd w:val="clear" w:color="auto" w:fill="FFFFFF"/>
      <w:spacing w:lineRule="auto" w:line="240" w:before="0" w:after="300"/>
      <w:ind w:hanging="460"/>
      <w:jc w:val="center"/>
    </w:pPr>
    <w:rPr>
      <w:spacing w:val="2"/>
      <w:sz w:val="22"/>
      <w:szCs w:val="22"/>
      <w:lang w:eastAsia="en-US"/>
    </w:rPr>
  </w:style>
  <w:style w:type="paragraph" w:styleId="Style24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2"/>
    <w:uiPriority w:val="59"/>
    <w:rsid w:val="00e423eb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EF1CB-E4EF-49CF-B22C-8BB2712FD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Application>LibreOffice/6.4.0.3$Windows_X86_64 LibreOffice_project/b0a288ab3d2d4774cb44b62f04d5d28733ac6df8</Application>
  <Pages>4</Pages>
  <Words>997</Words>
  <Characters>6497</Characters>
  <CharactersWithSpaces>8282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2023-05-31T13:44:00Z</dcterms:created>
  <dc:creator>Buh</dc:creator>
  <dc:description/>
  <dc:language>ru-RU</dc:language>
  <cp:lastModifiedBy/>
  <cp:lastPrinted>2023-06-29T10:00:36Z</cp:lastPrinted>
  <dcterms:modified xsi:type="dcterms:W3CDTF">2024-06-19T14:40:55Z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