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3EF4" w:rsidRPr="00A9379D" w:rsidRDefault="00213EF4" w:rsidP="00213EF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A9379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РЕСПУБЛИКА МОРДОВИЯ</w:t>
      </w:r>
    </w:p>
    <w:p w:rsidR="00213EF4" w:rsidRPr="00A9379D" w:rsidRDefault="00213EF4" w:rsidP="00213EF4">
      <w:pPr>
        <w:suppressAutoHyphens/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A9379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АДМИНИСТРАЦИЯ                                                     НОВОЧАДОВСКОГО СЕЛЬСКОГО ПОСЕЛЕНИЯ    АТЮРЬЕВСКОГО МУНИЦИПАЛЬНОГО РАЙОНА</w:t>
      </w:r>
    </w:p>
    <w:p w:rsidR="00213EF4" w:rsidRPr="00A9379D" w:rsidRDefault="00213EF4" w:rsidP="00213EF4">
      <w:pPr>
        <w:spacing w:after="200" w:line="24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A9379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ПОСТАНОВЛЕНИЕ</w:t>
      </w:r>
    </w:p>
    <w:p w:rsidR="00213EF4" w:rsidRPr="00A9379D" w:rsidRDefault="00213EF4" w:rsidP="00213EF4">
      <w:pPr>
        <w:spacing w:after="20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79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09»</w:t>
      </w:r>
      <w:r w:rsidRPr="00A93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Pr="00A93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2023 год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№ 10</w:t>
      </w:r>
    </w:p>
    <w:p w:rsidR="00213EF4" w:rsidRPr="00A9379D" w:rsidRDefault="00213EF4" w:rsidP="00213EF4">
      <w:pPr>
        <w:spacing w:after="200" w:line="18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3EF4" w:rsidRPr="00A9379D" w:rsidRDefault="00213EF4" w:rsidP="00213EF4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Схемы размещения </w:t>
      </w:r>
    </w:p>
    <w:p w:rsidR="00213EF4" w:rsidRPr="00A9379D" w:rsidRDefault="00213EF4" w:rsidP="00213EF4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79D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нестационарных торговых объектов на территории</w:t>
      </w:r>
    </w:p>
    <w:p w:rsidR="00213EF4" w:rsidRPr="00A9379D" w:rsidRDefault="00213EF4" w:rsidP="00213EF4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79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 сельского поселения</w:t>
      </w:r>
    </w:p>
    <w:p w:rsidR="00213EF4" w:rsidRPr="00A9379D" w:rsidRDefault="00213EF4" w:rsidP="00213EF4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Атюрьевского муниципального района </w:t>
      </w:r>
    </w:p>
    <w:p w:rsidR="00213EF4" w:rsidRPr="00A9379D" w:rsidRDefault="00213EF4" w:rsidP="00213EF4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79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213EF4" w:rsidRPr="00A9379D" w:rsidRDefault="00213EF4" w:rsidP="00213EF4">
      <w:pPr>
        <w:autoSpaceDE w:val="0"/>
        <w:autoSpaceDN w:val="0"/>
        <w:adjustRightInd w:val="0"/>
        <w:spacing w:after="0" w:line="240" w:lineRule="atLeast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3EF4" w:rsidRPr="00A9379D" w:rsidRDefault="00213EF4" w:rsidP="00213EF4">
      <w:pPr>
        <w:autoSpaceDE w:val="0"/>
        <w:autoSpaceDN w:val="0"/>
        <w:adjustRightInd w:val="0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79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Федеральным законом Федеральный закон от 28 декабря 2009 г. № 381-ФЗ «Об основах государственного регулирования торговой деятельности в Российской Федерации», Федеральным законом от 6 октября 2003 г. №131-ФЗ «Об общих принципах организаций местного самоуправления в Российской Федерации», Земельным кодексом Российской Федерации, Постановлением Правительства РФ от 29 сентября 2010 г. № 772 «Об утверждении Правил включения нестационарных торговых объектов, расположенных на земельных участках, в зданиях, строениях и сооружениях, находящихся в государственной собственности, в схему размещения нестационарных торговых объектов», Приказом Министерства экономики, торговли и предпринимательства Республики Мордовия от 11.05.2021 г. №105-П «Об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Мордовия», Уставом Новочадовского сельского поселения Атюрьевского муниципального района Республики Мордовия, администрация Новочадовского сельского поселения  Атюрьевского муниципального района  постановляет:</w:t>
      </w:r>
    </w:p>
    <w:p w:rsidR="00213EF4" w:rsidRPr="00A9379D" w:rsidRDefault="00213EF4" w:rsidP="00213EF4">
      <w:pPr>
        <w:autoSpaceDE w:val="0"/>
        <w:autoSpaceDN w:val="0"/>
        <w:adjustRightInd w:val="0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79D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Схему размещения нестационарных торговых объектов на территории Новочадовского сельского поселения Атюрьевского муниципального района Республики Мордовия согласно Приложению №1;</w:t>
      </w:r>
      <w:bookmarkStart w:id="0" w:name="sub_2"/>
    </w:p>
    <w:bookmarkEnd w:id="0"/>
    <w:p w:rsidR="00213EF4" w:rsidRPr="00A9379D" w:rsidRDefault="00213EF4" w:rsidP="00213EF4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79D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постановление вступает в силу со дня его официального опубликования.</w:t>
      </w:r>
    </w:p>
    <w:p w:rsidR="00213EF4" w:rsidRPr="00A9379D" w:rsidRDefault="00213EF4" w:rsidP="00213EF4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3EF4" w:rsidRPr="00A9379D" w:rsidRDefault="00213EF4" w:rsidP="00213EF4">
      <w:pPr>
        <w:spacing w:after="200" w:line="276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937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Глава Новочадовского                                                                                             сельского поселения                                                        В.И.Шнякина</w:t>
      </w:r>
    </w:p>
    <w:p w:rsidR="00213EF4" w:rsidRPr="00A9379D" w:rsidRDefault="00213EF4" w:rsidP="00213EF4">
      <w:pPr>
        <w:spacing w:after="20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</w:p>
    <w:p w:rsidR="00213EF4" w:rsidRPr="00A9379D" w:rsidRDefault="00213EF4" w:rsidP="00213EF4">
      <w:pPr>
        <w:shd w:val="clear" w:color="auto" w:fill="FFFFFF"/>
        <w:spacing w:after="200" w:line="276" w:lineRule="auto"/>
        <w:ind w:left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79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 Постановлению администрации Новочадовского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№10</w:t>
      </w:r>
      <w:r w:rsidRPr="00A93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09.06.</w:t>
      </w:r>
      <w:r w:rsidRPr="00A9379D">
        <w:rPr>
          <w:rFonts w:ascii="Times New Roman" w:eastAsia="Times New Roman" w:hAnsi="Times New Roman" w:cs="Times New Roman"/>
          <w:sz w:val="28"/>
          <w:szCs w:val="28"/>
          <w:lang w:eastAsia="ru-RU"/>
        </w:rPr>
        <w:t>2023г</w:t>
      </w:r>
    </w:p>
    <w:p w:rsidR="00213EF4" w:rsidRPr="00A9379D" w:rsidRDefault="00213EF4" w:rsidP="00213EF4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7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Схема размещения нестационарных торговых объектов на территории Новочадовского сельского поселения Атюрьевского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Pr="00A9379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 Республики  Мордовия</w:t>
      </w:r>
    </w:p>
    <w:tbl>
      <w:tblPr>
        <w:tblW w:w="108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8"/>
        <w:gridCol w:w="2813"/>
        <w:gridCol w:w="1271"/>
        <w:gridCol w:w="1080"/>
        <w:gridCol w:w="1136"/>
        <w:gridCol w:w="2212"/>
        <w:gridCol w:w="1440"/>
        <w:gridCol w:w="432"/>
      </w:tblGrid>
      <w:tr w:rsidR="00213EF4" w:rsidRPr="00A9379D" w:rsidTr="00854C35">
        <w:trPr>
          <w:cantSplit/>
          <w:jc w:val="center"/>
        </w:trPr>
        <w:tc>
          <w:tcPr>
            <w:tcW w:w="448" w:type="dxa"/>
          </w:tcPr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13" w:type="dxa"/>
          </w:tcPr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нахождения нестационарного торгового объекта</w:t>
            </w:r>
          </w:p>
        </w:tc>
        <w:tc>
          <w:tcPr>
            <w:tcW w:w="1271" w:type="dxa"/>
          </w:tcPr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нестационарного торгового объекта</w:t>
            </w:r>
          </w:p>
        </w:tc>
        <w:tc>
          <w:tcPr>
            <w:tcW w:w="1080" w:type="dxa"/>
          </w:tcPr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Специализация торгового объекта</w:t>
            </w:r>
          </w:p>
        </w:tc>
        <w:tc>
          <w:tcPr>
            <w:tcW w:w="1136" w:type="dxa"/>
          </w:tcPr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земельного участка / площадь торгового объекта</w:t>
            </w:r>
          </w:p>
        </w:tc>
        <w:tc>
          <w:tcPr>
            <w:tcW w:w="2212" w:type="dxa"/>
          </w:tcPr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собственности земельного участка, на котором расположен нестационарный торговый объект, а также наименование органа, уполномоченного на распоряжение соответствующим имуществом</w:t>
            </w:r>
          </w:p>
        </w:tc>
        <w:tc>
          <w:tcPr>
            <w:tcW w:w="1440" w:type="dxa"/>
          </w:tcPr>
          <w:p w:rsidR="00213EF4" w:rsidRPr="00A9379D" w:rsidRDefault="00213EF4" w:rsidP="00854C35">
            <w:pPr>
              <w:spacing w:after="0" w:line="2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</w:t>
            </w:r>
          </w:p>
          <w:p w:rsidR="00213EF4" w:rsidRPr="00A9379D" w:rsidRDefault="00213EF4" w:rsidP="00854C35">
            <w:pPr>
              <w:spacing w:after="200" w:line="276" w:lineRule="auto"/>
              <w:ind w:right="39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размещения нестационарного торгового объекта</w:t>
            </w:r>
          </w:p>
        </w:tc>
        <w:tc>
          <w:tcPr>
            <w:tcW w:w="432" w:type="dxa"/>
            <w:vMerge w:val="restart"/>
            <w:tcBorders>
              <w:top w:val="nil"/>
            </w:tcBorders>
          </w:tcPr>
          <w:p w:rsidR="00213EF4" w:rsidRPr="00A9379D" w:rsidRDefault="00213EF4" w:rsidP="00854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3EF4" w:rsidRPr="00A9379D" w:rsidRDefault="00213EF4" w:rsidP="00854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3EF4" w:rsidRPr="00A9379D" w:rsidRDefault="00213EF4" w:rsidP="00854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13EF4" w:rsidRPr="00A9379D" w:rsidTr="00854C35">
        <w:trPr>
          <w:cantSplit/>
          <w:jc w:val="center"/>
        </w:trPr>
        <w:tc>
          <w:tcPr>
            <w:tcW w:w="448" w:type="dxa"/>
          </w:tcPr>
          <w:p w:rsidR="00213EF4" w:rsidRPr="00A9379D" w:rsidRDefault="00213EF4" w:rsidP="00854C35">
            <w:pPr>
              <w:spacing w:after="200" w:line="276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9379D">
              <w:rPr>
                <w:rFonts w:ascii="Calibri" w:eastAsia="Times New Roman" w:hAnsi="Calibri" w:cs="Calibri"/>
                <w:lang w:eastAsia="ru-RU"/>
              </w:rPr>
              <w:t>1</w:t>
            </w:r>
          </w:p>
        </w:tc>
        <w:tc>
          <w:tcPr>
            <w:tcW w:w="2813" w:type="dxa"/>
          </w:tcPr>
          <w:p w:rsidR="00213EF4" w:rsidRPr="00A9379D" w:rsidRDefault="00213EF4" w:rsidP="00854C35">
            <w:pPr>
              <w:spacing w:after="200" w:line="276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9379D">
              <w:rPr>
                <w:rFonts w:ascii="Calibri" w:eastAsia="Times New Roman" w:hAnsi="Calibri" w:cs="Calibri"/>
                <w:lang w:eastAsia="ru-RU"/>
              </w:rPr>
              <w:t>2</w:t>
            </w:r>
          </w:p>
        </w:tc>
        <w:tc>
          <w:tcPr>
            <w:tcW w:w="1271" w:type="dxa"/>
          </w:tcPr>
          <w:p w:rsidR="00213EF4" w:rsidRPr="00A9379D" w:rsidRDefault="00213EF4" w:rsidP="00854C35">
            <w:pPr>
              <w:spacing w:after="200" w:line="276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9379D">
              <w:rPr>
                <w:rFonts w:ascii="Calibri" w:eastAsia="Times New Roman" w:hAnsi="Calibri" w:cs="Calibri"/>
                <w:lang w:eastAsia="ru-RU"/>
              </w:rPr>
              <w:t>3</w:t>
            </w:r>
          </w:p>
        </w:tc>
        <w:tc>
          <w:tcPr>
            <w:tcW w:w="1080" w:type="dxa"/>
          </w:tcPr>
          <w:p w:rsidR="00213EF4" w:rsidRPr="00A9379D" w:rsidRDefault="00213EF4" w:rsidP="00854C35">
            <w:pPr>
              <w:spacing w:after="200" w:line="276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9379D">
              <w:rPr>
                <w:rFonts w:ascii="Calibri" w:eastAsia="Times New Roman" w:hAnsi="Calibri" w:cs="Calibri"/>
                <w:lang w:eastAsia="ru-RU"/>
              </w:rPr>
              <w:t>4</w:t>
            </w:r>
          </w:p>
        </w:tc>
        <w:tc>
          <w:tcPr>
            <w:tcW w:w="1136" w:type="dxa"/>
          </w:tcPr>
          <w:p w:rsidR="00213EF4" w:rsidRPr="00A9379D" w:rsidRDefault="00213EF4" w:rsidP="00854C35">
            <w:pPr>
              <w:spacing w:after="200" w:line="276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9379D">
              <w:rPr>
                <w:rFonts w:ascii="Calibri" w:eastAsia="Times New Roman" w:hAnsi="Calibri" w:cs="Calibri"/>
                <w:lang w:eastAsia="ru-RU"/>
              </w:rPr>
              <w:t>5</w:t>
            </w:r>
          </w:p>
        </w:tc>
        <w:tc>
          <w:tcPr>
            <w:tcW w:w="2212" w:type="dxa"/>
          </w:tcPr>
          <w:p w:rsidR="00213EF4" w:rsidRPr="00A9379D" w:rsidRDefault="00213EF4" w:rsidP="00854C35">
            <w:pPr>
              <w:spacing w:after="200" w:line="276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9379D">
              <w:rPr>
                <w:rFonts w:ascii="Calibri" w:eastAsia="Times New Roman" w:hAnsi="Calibri" w:cs="Calibri"/>
                <w:lang w:eastAsia="ru-RU"/>
              </w:rPr>
              <w:t>6</w:t>
            </w:r>
          </w:p>
        </w:tc>
        <w:tc>
          <w:tcPr>
            <w:tcW w:w="1440" w:type="dxa"/>
          </w:tcPr>
          <w:p w:rsidR="00213EF4" w:rsidRPr="00A9379D" w:rsidRDefault="00213EF4" w:rsidP="00854C35">
            <w:pPr>
              <w:spacing w:after="200" w:line="276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A9379D">
              <w:rPr>
                <w:rFonts w:ascii="Calibri" w:eastAsia="Times New Roman" w:hAnsi="Calibri" w:cs="Calibri"/>
                <w:lang w:eastAsia="ru-RU"/>
              </w:rPr>
              <w:t>7</w:t>
            </w:r>
          </w:p>
        </w:tc>
        <w:tc>
          <w:tcPr>
            <w:tcW w:w="432" w:type="dxa"/>
            <w:vMerge/>
          </w:tcPr>
          <w:p w:rsidR="00213EF4" w:rsidRPr="00A9379D" w:rsidRDefault="00213EF4" w:rsidP="00854C35">
            <w:pPr>
              <w:spacing w:after="200" w:line="276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</w:p>
        </w:tc>
      </w:tr>
      <w:tr w:rsidR="00213EF4" w:rsidRPr="00A9379D" w:rsidTr="00854C35">
        <w:trPr>
          <w:cantSplit/>
          <w:trHeight w:val="3820"/>
          <w:jc w:val="center"/>
        </w:trPr>
        <w:tc>
          <w:tcPr>
            <w:tcW w:w="448" w:type="dxa"/>
          </w:tcPr>
          <w:p w:rsidR="00213EF4" w:rsidRPr="00A9379D" w:rsidRDefault="00213EF4" w:rsidP="00854C35">
            <w:pPr>
              <w:spacing w:after="200" w:line="276" w:lineRule="auto"/>
              <w:ind w:left="424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37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7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13" w:type="dxa"/>
          </w:tcPr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379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с.Новочадово</w:t>
            </w:r>
            <w:r w:rsidRPr="00A9379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  <w:lang w:eastAsia="ru-RU"/>
              </w:rPr>
              <w:t xml:space="preserve"> (</w:t>
            </w:r>
            <w:r w:rsidRPr="00A9379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ул.Центральная, ул.Школьная)</w:t>
            </w:r>
          </w:p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</w:p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37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д</w:t>
            </w:r>
            <w:r w:rsidRPr="00A937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.Новая Кярьга (ул.Центральная)</w:t>
            </w:r>
          </w:p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379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д.Шайгуши</w:t>
            </w:r>
            <w:r w:rsidRPr="00A937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(ул.Центральная)</w:t>
            </w:r>
          </w:p>
        </w:tc>
        <w:tc>
          <w:tcPr>
            <w:tcW w:w="1271" w:type="dxa"/>
          </w:tcPr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 мобильной торговли</w:t>
            </w:r>
          </w:p>
        </w:tc>
        <w:tc>
          <w:tcPr>
            <w:tcW w:w="1080" w:type="dxa"/>
          </w:tcPr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Хлеб, хлебобулочные изделияпродовольственные товары</w:t>
            </w:r>
          </w:p>
        </w:tc>
        <w:tc>
          <w:tcPr>
            <w:tcW w:w="1136" w:type="dxa"/>
          </w:tcPr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кв.м./8 кв.м</w:t>
            </w:r>
          </w:p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кв.м./8 кв.м</w:t>
            </w:r>
          </w:p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кв.м./8 кв.м</w:t>
            </w:r>
          </w:p>
        </w:tc>
        <w:tc>
          <w:tcPr>
            <w:tcW w:w="2212" w:type="dxa"/>
          </w:tcPr>
          <w:p w:rsidR="00213EF4" w:rsidRPr="00A9379D" w:rsidRDefault="00213EF4" w:rsidP="00854C35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ru-RU"/>
              </w:rPr>
            </w:pPr>
            <w:r w:rsidRPr="00A937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участок, государственная собственность на который не разграничена, администрация Атюрьевского муниципального района Республики Мордовия</w:t>
            </w:r>
          </w:p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</w:tcPr>
          <w:p w:rsidR="00213EF4" w:rsidRPr="00A9379D" w:rsidRDefault="00213EF4" w:rsidP="00854C35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3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всего года</w:t>
            </w:r>
          </w:p>
        </w:tc>
        <w:tc>
          <w:tcPr>
            <w:tcW w:w="432" w:type="dxa"/>
            <w:vMerge/>
          </w:tcPr>
          <w:p w:rsidR="00213EF4" w:rsidRPr="00A9379D" w:rsidRDefault="00213EF4" w:rsidP="00854C35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13EF4" w:rsidRPr="00A9379D" w:rsidRDefault="00213EF4" w:rsidP="00213EF4">
      <w:pPr>
        <w:spacing w:after="200" w:line="276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213EF4" w:rsidRDefault="00213EF4" w:rsidP="00213EF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3EF4" w:rsidRDefault="00213EF4" w:rsidP="00213EF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3EF4" w:rsidRPr="00A9379D" w:rsidRDefault="00213EF4" w:rsidP="00213EF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95D" w:rsidRDefault="0097795D">
      <w:bookmarkStart w:id="1" w:name="_GoBack"/>
      <w:bookmarkEnd w:id="1"/>
    </w:p>
    <w:sectPr w:rsidR="0097795D" w:rsidSect="00AC59D4">
      <w:pgSz w:w="11900" w:h="16800"/>
      <w:pgMar w:top="0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EF4"/>
    <w:rsid w:val="00213EF4"/>
    <w:rsid w:val="0097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FC94B2-E961-4CFF-A531-52B394F19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3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2023-07-04T11:26:00Z</dcterms:created>
  <dcterms:modified xsi:type="dcterms:W3CDTF">2023-07-04T11:26:00Z</dcterms:modified>
</cp:coreProperties>
</file>