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Style1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Будущим мамочкам и одиноким родителям.</w:t>
      </w:r>
    </w:p>
    <w:p>
      <w:pPr>
        <w:pStyle w:val="Style1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 определить за какой период брать доход семьи для новых ежемесячных пособий , а также как рассчитать размер среднедушевого дохода.</w:t>
      </w:r>
    </w:p>
    <w:p>
      <w:pPr>
        <w:pStyle w:val="Style14"/>
        <w:pBdr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-288290</wp:posOffset>
            </wp:positionH>
            <wp:positionV relativeFrom="paragraph">
              <wp:posOffset>114300</wp:posOffset>
            </wp:positionV>
            <wp:extent cx="3401060" cy="257048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060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3350260</wp:posOffset>
            </wp:positionH>
            <wp:positionV relativeFrom="paragraph">
              <wp:posOffset>74295</wp:posOffset>
            </wp:positionV>
            <wp:extent cx="3220085" cy="2572385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0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rPr/>
      </w:pPr>
      <w:r>
        <w:rPr/>
      </w:r>
    </w:p>
    <w:p>
      <w:pPr>
        <w:pStyle w:val="Style14"/>
        <w:pBdr/>
        <w:spacing w:before="0" w:after="12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auto"/>
    <w:pitch w:val="default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2021-07-14T10:12:43Z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