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96" w:rsidRDefault="00332A3D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распоряжении средствами материнского (семейного) капитала через кредитные организации </w:t>
      </w:r>
    </w:p>
    <w:p w:rsidR="00132396" w:rsidRDefault="00332A3D" w:rsidP="00332A3D">
      <w:pPr>
        <w:pStyle w:val="a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Отделения Пенсионного фонда России по всей стране проводят работу по заключению соглашений об информационном обмене с кредитными организации (банками), для того чтобы</w:t>
      </w:r>
      <w:r>
        <w:rPr>
          <w:rFonts w:ascii="Times New Roman" w:hAnsi="Times New Roman"/>
        </w:rPr>
        <w:t xml:space="preserve"> семьи могли распоряжаться материнским капиталом на улучшение жилищных условий непосредственно через кредитные организации, не обращаясь в органы Пенсионного фонда.</w:t>
      </w:r>
    </w:p>
    <w:p w:rsidR="00132396" w:rsidRDefault="00332A3D" w:rsidP="00332A3D">
      <w:pPr>
        <w:pStyle w:val="a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Владельцы сертификата могут обратиться в банки, заключившие соглашения с Пенсионным фондом,</w:t>
      </w:r>
      <w:r>
        <w:rPr>
          <w:rFonts w:ascii="Times New Roman" w:hAnsi="Times New Roman"/>
        </w:rPr>
        <w:t xml:space="preserve"> и одновременно с оформлением кредита на покупку или строительство жилья подать через банки заявление об оплате материнским капиталом основного долга и процентов по кредиту, оформленному на приобретение либо строительство жилья, либо на оплату первоначальн</w:t>
      </w:r>
      <w:r>
        <w:rPr>
          <w:rFonts w:ascii="Times New Roman" w:hAnsi="Times New Roman"/>
        </w:rPr>
        <w:t>ого взноса при получении такого кредита. То есть вместо двух обращений – в банк и Пенсионный фонд – семье теперь достаточно обратиться только в банк.</w:t>
      </w:r>
    </w:p>
    <w:p w:rsidR="00132396" w:rsidRDefault="00332A3D" w:rsidP="00332A3D">
      <w:pPr>
        <w:pStyle w:val="a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Заявления и необходимые документы банки передают территориальным органам ПФР по электронным каналам, что п</w:t>
      </w:r>
      <w:r>
        <w:rPr>
          <w:rFonts w:ascii="Times New Roman" w:hAnsi="Times New Roman"/>
        </w:rPr>
        <w:t>озволяет ускорить распоряжение материнским капиталом.</w:t>
      </w:r>
    </w:p>
    <w:p w:rsidR="00132396" w:rsidRDefault="00332A3D" w:rsidP="00332A3D">
      <w:pPr>
        <w:pStyle w:val="a4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 статистике улучшение жилищных условий с привлечением кредитных и заемных средств является самым востребованным направлением программы материнского капитала.</w:t>
      </w:r>
    </w:p>
    <w:p w:rsidR="00332A3D" w:rsidRDefault="00332A3D" w:rsidP="00332A3D">
      <w:pPr>
        <w:pStyle w:val="a4"/>
        <w:ind w:firstLine="709"/>
        <w:jc w:val="both"/>
        <w:rPr>
          <w:rFonts w:ascii="Times New Roman" w:hAnsi="Times New Roman"/>
        </w:rPr>
      </w:pPr>
      <w:bookmarkStart w:id="0" w:name="_GoBack"/>
      <w:bookmarkEnd w:id="0"/>
    </w:p>
    <w:p w:rsidR="00132396" w:rsidRDefault="00332A3D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21985" cy="3274695"/>
            <wp:effectExtent l="0" t="0" r="0" b="0"/>
            <wp:wrapSquare wrapText="largest"/>
            <wp:docPr id="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85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3239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132396"/>
    <w:rsid w:val="00132396"/>
    <w:rsid w:val="0033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2021-04-29T09:00:00Z</dcterms:created>
  <dcterms:modified xsi:type="dcterms:W3CDTF">2021-06-10T13:29:00Z</dcterms:modified>
  <dc:language>ru-RU</dc:language>
</cp:coreProperties>
</file>