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89D" w:rsidRDefault="002B3C63">
      <w:pPr>
        <w:jc w:val="both"/>
      </w:pPr>
      <w:r>
        <w:t xml:space="preserve">Оформить выплату по уходу </w:t>
      </w:r>
      <w:proofErr w:type="gramStart"/>
      <w:r>
        <w:t>за</w:t>
      </w:r>
      <w:proofErr w:type="gramEnd"/>
      <w:r>
        <w:t xml:space="preserve">: </w:t>
      </w:r>
    </w:p>
    <w:p w:rsidR="002B3C63" w:rsidRDefault="002B3C63">
      <w:pPr>
        <w:jc w:val="both"/>
        <w:rPr>
          <w:rFonts w:hint="eastAsia"/>
        </w:rPr>
      </w:pPr>
      <w:bookmarkStart w:id="0" w:name="_GoBack"/>
      <w:bookmarkEnd w:id="0"/>
    </w:p>
    <w:p w:rsidR="0034389D" w:rsidRDefault="002B3C63">
      <w:pPr>
        <w:jc w:val="both"/>
        <w:rPr>
          <w:rFonts w:hint="eastAsia"/>
        </w:rPr>
      </w:pPr>
      <w:r>
        <w:t>1) лицом, достигшим 80 лет;</w:t>
      </w:r>
    </w:p>
    <w:p w:rsidR="0034389D" w:rsidRDefault="002B3C63">
      <w:pPr>
        <w:jc w:val="both"/>
        <w:rPr>
          <w:rFonts w:hint="eastAsia"/>
        </w:rPr>
      </w:pPr>
      <w:r>
        <w:t xml:space="preserve">2) </w:t>
      </w:r>
      <w:proofErr w:type="gramStart"/>
      <w:r>
        <w:t>престарелым</w:t>
      </w:r>
      <w:proofErr w:type="gramEnd"/>
      <w:r>
        <w:t>, нуждающимся по заключению лечебного учреждения в постоянном постороннем уходе;</w:t>
      </w:r>
    </w:p>
    <w:p w:rsidR="0034389D" w:rsidRDefault="002B3C63">
      <w:pPr>
        <w:jc w:val="both"/>
        <w:rPr>
          <w:rFonts w:hint="eastAsia"/>
        </w:rPr>
      </w:pPr>
      <w:r>
        <w:t>3) инвалидом 1 группы</w:t>
      </w:r>
    </w:p>
    <w:p w:rsidR="0034389D" w:rsidRDefault="002B3C63">
      <w:pPr>
        <w:jc w:val="both"/>
        <w:rPr>
          <w:rFonts w:hint="eastAsia"/>
        </w:rPr>
      </w:pPr>
      <w:r>
        <w:t xml:space="preserve">может неработающий гражданин трудоспособного возраста (с 16 лет), который не стоит на бирже и не является получателем пенсии. </w:t>
      </w:r>
    </w:p>
    <w:p w:rsidR="0034389D" w:rsidRDefault="0034389D">
      <w:pPr>
        <w:jc w:val="both"/>
        <w:rPr>
          <w:rFonts w:hint="eastAsia"/>
        </w:rPr>
      </w:pPr>
    </w:p>
    <w:p w:rsidR="0034389D" w:rsidRDefault="002B3C63">
      <w:pPr>
        <w:jc w:val="both"/>
        <w:rPr>
          <w:rFonts w:hint="eastAsia"/>
        </w:rPr>
      </w:pPr>
      <w:r>
        <w:t>Однако с согласия родителей и органов опеки и попечительства выплату может оформить обучающийся с 14 лет, чтобы осуществлять ухо</w:t>
      </w:r>
      <w:r>
        <w:t xml:space="preserve">д в свободное от учебы время. С 16 лет согласие родителей и органов опеки не требуется. </w:t>
      </w:r>
    </w:p>
    <w:p w:rsidR="0034389D" w:rsidRDefault="0034389D">
      <w:pPr>
        <w:jc w:val="both"/>
        <w:rPr>
          <w:rFonts w:hint="eastAsia"/>
        </w:rPr>
      </w:pPr>
    </w:p>
    <w:p w:rsidR="0034389D" w:rsidRDefault="002B3C63">
      <w:pPr>
        <w:jc w:val="both"/>
        <w:rPr>
          <w:rFonts w:hint="eastAsia"/>
        </w:rPr>
      </w:pPr>
      <w:r>
        <w:t xml:space="preserve">Период ухода будет засчитываться в стаж лица, ухаживающего за нетрудоспособным человеком. </w:t>
      </w:r>
    </w:p>
    <w:p w:rsidR="0034389D" w:rsidRDefault="0034389D">
      <w:pPr>
        <w:jc w:val="both"/>
        <w:rPr>
          <w:rFonts w:hint="eastAsia"/>
        </w:rPr>
      </w:pPr>
    </w:p>
    <w:p w:rsidR="0034389D" w:rsidRDefault="002B3C63">
      <w:pPr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38880" cy="3738880"/>
            <wp:effectExtent l="0" t="0" r="0" b="0"/>
            <wp:wrapSquare wrapText="largest"/>
            <wp:docPr id="1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88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4389D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34389D"/>
    <w:rsid w:val="002B3C63"/>
    <w:rsid w:val="0034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2021-04-16T12:20:00Z</dcterms:created>
  <dcterms:modified xsi:type="dcterms:W3CDTF">2021-05-24T08:15:00Z</dcterms:modified>
  <dc:language>ru-RU</dc:language>
</cp:coreProperties>
</file>