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AF2" w:rsidRPr="00790482" w:rsidRDefault="00BD2AF2" w:rsidP="00790482">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790482">
        <w:rPr>
          <w:rFonts w:ascii="Times New Roman" w:eastAsia="Times New Roman" w:hAnsi="Times New Roman" w:cs="Times New Roman"/>
          <w:b/>
          <w:bCs/>
          <w:kern w:val="36"/>
          <w:sz w:val="28"/>
          <w:szCs w:val="28"/>
          <w:lang w:eastAsia="ru-RU"/>
        </w:rPr>
        <w:t>Крайние даты: 1 и 31 декабря</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Управление Пенсионного фонда РФ в </w:t>
      </w:r>
      <w:proofErr w:type="spellStart"/>
      <w:r>
        <w:rPr>
          <w:rFonts w:ascii="Times New Roman" w:eastAsia="Times New Roman" w:hAnsi="Times New Roman" w:cs="Times New Roman"/>
          <w:sz w:val="28"/>
          <w:szCs w:val="28"/>
          <w:lang w:eastAsia="ru-RU"/>
        </w:rPr>
        <w:t>Торбеевском</w:t>
      </w:r>
      <w:proofErr w:type="spellEnd"/>
      <w:r>
        <w:rPr>
          <w:rFonts w:ascii="Times New Roman" w:eastAsia="Times New Roman" w:hAnsi="Times New Roman" w:cs="Times New Roman"/>
          <w:sz w:val="28"/>
          <w:szCs w:val="28"/>
          <w:lang w:eastAsia="ru-RU"/>
        </w:rPr>
        <w:t xml:space="preserve"> муниципальном районе Республики Мордовия (межрайонное) сообщает о том</w:t>
      </w:r>
      <w:r w:rsidR="00BD2AF2" w:rsidRPr="0079048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что</w:t>
      </w:r>
      <w:r w:rsidR="00BD2AF2" w:rsidRPr="0079048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лица, </w:t>
      </w:r>
      <w:r w:rsidR="00BD2AF2" w:rsidRPr="00790482">
        <w:rPr>
          <w:rFonts w:ascii="Times New Roman" w:eastAsia="Times New Roman" w:hAnsi="Times New Roman" w:cs="Times New Roman"/>
          <w:sz w:val="28"/>
          <w:szCs w:val="28"/>
          <w:lang w:eastAsia="ru-RU"/>
        </w:rPr>
        <w:t>желающие изменить условия инвестирования сре</w:t>
      </w:r>
      <w:proofErr w:type="gramStart"/>
      <w:r w:rsidR="00BD2AF2" w:rsidRPr="00790482">
        <w:rPr>
          <w:rFonts w:ascii="Times New Roman" w:eastAsia="Times New Roman" w:hAnsi="Times New Roman" w:cs="Times New Roman"/>
          <w:sz w:val="28"/>
          <w:szCs w:val="28"/>
          <w:lang w:eastAsia="ru-RU"/>
        </w:rPr>
        <w:t>дств св</w:t>
      </w:r>
      <w:proofErr w:type="gramEnd"/>
      <w:r w:rsidR="00BD2AF2" w:rsidRPr="00790482">
        <w:rPr>
          <w:rFonts w:ascii="Times New Roman" w:eastAsia="Times New Roman" w:hAnsi="Times New Roman" w:cs="Times New Roman"/>
          <w:sz w:val="28"/>
          <w:szCs w:val="28"/>
          <w:lang w:eastAsia="ru-RU"/>
        </w:rPr>
        <w:t>оих пенсионных накоплений, должны подать соответствующее заявление в Пенсионный фонд РФ в определенный срок: до 1 либо до 31 декабря.</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2AF2" w:rsidRPr="00790482">
        <w:rPr>
          <w:rFonts w:ascii="Times New Roman" w:eastAsia="Times New Roman" w:hAnsi="Times New Roman" w:cs="Times New Roman"/>
          <w:sz w:val="28"/>
          <w:szCs w:val="28"/>
          <w:lang w:eastAsia="ru-RU"/>
        </w:rPr>
        <w:t>Напомним. Пенсионные накопления граждан (не путать со страховой пенсией) складывались из обязательных страховых взносов, уплаченных работодателями в период с 2002 по 2014 гг. в пользу своих работников. С 2015 года пенсионные накопления (накопительная пенсия) перестали пополняться страховыми взносами работодателей. Был наложен мораторий на такое пополнение. Все обязательные взносы работодателей теперь идут на формирование пенсионных прав для «полной» страховой пенсии их сотрудников.</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2AF2" w:rsidRPr="00790482">
        <w:rPr>
          <w:rFonts w:ascii="Times New Roman" w:eastAsia="Times New Roman" w:hAnsi="Times New Roman" w:cs="Times New Roman"/>
          <w:sz w:val="28"/>
          <w:szCs w:val="28"/>
          <w:lang w:eastAsia="ru-RU"/>
        </w:rPr>
        <w:t xml:space="preserve">Кстати, мораторий не затрагивает действие Программы </w:t>
      </w:r>
      <w:proofErr w:type="gramStart"/>
      <w:r w:rsidR="00BD2AF2" w:rsidRPr="00790482">
        <w:rPr>
          <w:rFonts w:ascii="Times New Roman" w:eastAsia="Times New Roman" w:hAnsi="Times New Roman" w:cs="Times New Roman"/>
          <w:sz w:val="28"/>
          <w:szCs w:val="28"/>
          <w:lang w:eastAsia="ru-RU"/>
        </w:rPr>
        <w:t>государственного</w:t>
      </w:r>
      <w:proofErr w:type="gramEnd"/>
      <w:r w:rsidR="00BD2AF2" w:rsidRPr="00790482">
        <w:rPr>
          <w:rFonts w:ascii="Times New Roman" w:eastAsia="Times New Roman" w:hAnsi="Times New Roman" w:cs="Times New Roman"/>
          <w:sz w:val="28"/>
          <w:szCs w:val="28"/>
          <w:lang w:eastAsia="ru-RU"/>
        </w:rPr>
        <w:t xml:space="preserve"> </w:t>
      </w:r>
      <w:proofErr w:type="spellStart"/>
      <w:r w:rsidR="00BD2AF2" w:rsidRPr="00790482">
        <w:rPr>
          <w:rFonts w:ascii="Times New Roman" w:eastAsia="Times New Roman" w:hAnsi="Times New Roman" w:cs="Times New Roman"/>
          <w:sz w:val="28"/>
          <w:szCs w:val="28"/>
          <w:lang w:eastAsia="ru-RU"/>
        </w:rPr>
        <w:t>софинансирования</w:t>
      </w:r>
      <w:proofErr w:type="spellEnd"/>
      <w:r w:rsidR="00BD2AF2" w:rsidRPr="00790482">
        <w:rPr>
          <w:rFonts w:ascii="Times New Roman" w:eastAsia="Times New Roman" w:hAnsi="Times New Roman" w:cs="Times New Roman"/>
          <w:sz w:val="28"/>
          <w:szCs w:val="28"/>
          <w:lang w:eastAsia="ru-RU"/>
        </w:rPr>
        <w:t xml:space="preserve"> пенсионных накоплений (Программа «1000 на 1000»). Добровольные взносы её участников </w:t>
      </w:r>
      <w:proofErr w:type="spellStart"/>
      <w:r w:rsidR="00BD2AF2" w:rsidRPr="00790482">
        <w:rPr>
          <w:rFonts w:ascii="Times New Roman" w:eastAsia="Times New Roman" w:hAnsi="Times New Roman" w:cs="Times New Roman"/>
          <w:sz w:val="28"/>
          <w:szCs w:val="28"/>
          <w:lang w:eastAsia="ru-RU"/>
        </w:rPr>
        <w:t>софинансируются</w:t>
      </w:r>
      <w:proofErr w:type="spellEnd"/>
      <w:r w:rsidR="00BD2AF2" w:rsidRPr="00790482">
        <w:rPr>
          <w:rFonts w:ascii="Times New Roman" w:eastAsia="Times New Roman" w:hAnsi="Times New Roman" w:cs="Times New Roman"/>
          <w:sz w:val="28"/>
          <w:szCs w:val="28"/>
          <w:lang w:eastAsia="ru-RU"/>
        </w:rPr>
        <w:t xml:space="preserve"> вовремя и в полном объеме.</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2AF2" w:rsidRPr="00790482">
        <w:rPr>
          <w:rFonts w:ascii="Times New Roman" w:eastAsia="Times New Roman" w:hAnsi="Times New Roman" w:cs="Times New Roman"/>
          <w:sz w:val="28"/>
          <w:szCs w:val="28"/>
          <w:lang w:eastAsia="ru-RU"/>
        </w:rPr>
        <w:t xml:space="preserve">Обращаем внимание. Все пенсионные накопления сохраняются на индивидуальных лицевых счетах граждан. Мораторий никак не влияет на возможность </w:t>
      </w:r>
      <w:r>
        <w:rPr>
          <w:rFonts w:ascii="Times New Roman" w:eastAsia="Times New Roman" w:hAnsi="Times New Roman" w:cs="Times New Roman"/>
          <w:sz w:val="28"/>
          <w:szCs w:val="28"/>
          <w:lang w:eastAsia="ru-RU"/>
        </w:rPr>
        <w:t xml:space="preserve">людей </w:t>
      </w:r>
      <w:r w:rsidR="00BD2AF2" w:rsidRPr="00790482">
        <w:rPr>
          <w:rFonts w:ascii="Times New Roman" w:eastAsia="Times New Roman" w:hAnsi="Times New Roman" w:cs="Times New Roman"/>
          <w:sz w:val="28"/>
          <w:szCs w:val="28"/>
          <w:lang w:eastAsia="ru-RU"/>
        </w:rPr>
        <w:t>ими распоряжаться, передавая от одного страховщика — другому. Для дальнейшего инвестирования и получения предполагаемого дохода.</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2AF2" w:rsidRPr="00790482">
        <w:rPr>
          <w:rFonts w:ascii="Times New Roman" w:eastAsia="Times New Roman" w:hAnsi="Times New Roman" w:cs="Times New Roman"/>
          <w:sz w:val="28"/>
          <w:szCs w:val="28"/>
          <w:lang w:eastAsia="ru-RU"/>
        </w:rPr>
        <w:t>Такими страховщиками могут быть только Пенсионный фонд Российской Федерации (ПФР) или любой из негосударственных пенсионных фондов (НПФ).</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2AF2" w:rsidRPr="00790482">
        <w:rPr>
          <w:rFonts w:ascii="Times New Roman" w:eastAsia="Times New Roman" w:hAnsi="Times New Roman" w:cs="Times New Roman"/>
          <w:sz w:val="28"/>
          <w:szCs w:val="28"/>
          <w:lang w:eastAsia="ru-RU"/>
        </w:rPr>
        <w:t>Уточним, если страховщиком пенсионных накоплений является ПФР, то средства «лежат» не в ПФР, а, по «умолчанию» или выбору гражданина, находятся в доверительном управлении в государственной управляющей компании (ГУК) Внешэкономбанк или в одной из частных управляющих компаний (УК). При смене управляющей компании, страховщиком по-прежнему остается ПФР.</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sidR="00BD2AF2" w:rsidRPr="00790482">
        <w:rPr>
          <w:rFonts w:ascii="Times New Roman" w:eastAsia="Times New Roman" w:hAnsi="Times New Roman" w:cs="Times New Roman"/>
          <w:sz w:val="28"/>
          <w:szCs w:val="28"/>
          <w:lang w:eastAsia="ru-RU"/>
        </w:rPr>
        <w:t>Переход, то есть смена страховщика, может осуществляться по желанию гражданина: из ГУК в НПФ и обратно, из УК в НПФ и обратно, из НПФ в НПФ.</w:t>
      </w:r>
      <w:proofErr w:type="gramEnd"/>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2AF2" w:rsidRPr="00790482">
        <w:rPr>
          <w:rFonts w:ascii="Times New Roman" w:eastAsia="Times New Roman" w:hAnsi="Times New Roman" w:cs="Times New Roman"/>
          <w:sz w:val="28"/>
          <w:szCs w:val="28"/>
          <w:lang w:eastAsia="ru-RU"/>
        </w:rPr>
        <w:t xml:space="preserve">Заявление о своем выборе можно подать в клиентской службе ПФР или через портал </w:t>
      </w:r>
      <w:proofErr w:type="spellStart"/>
      <w:r w:rsidR="00BD2AF2" w:rsidRPr="00790482">
        <w:rPr>
          <w:rFonts w:ascii="Times New Roman" w:eastAsia="Times New Roman" w:hAnsi="Times New Roman" w:cs="Times New Roman"/>
          <w:sz w:val="28"/>
          <w:szCs w:val="28"/>
          <w:lang w:eastAsia="ru-RU"/>
        </w:rPr>
        <w:t>госуслуг</w:t>
      </w:r>
      <w:proofErr w:type="spellEnd"/>
      <w:r w:rsidR="00BD2AF2" w:rsidRPr="00790482">
        <w:rPr>
          <w:rFonts w:ascii="Times New Roman" w:eastAsia="Times New Roman" w:hAnsi="Times New Roman" w:cs="Times New Roman"/>
          <w:sz w:val="28"/>
          <w:szCs w:val="28"/>
          <w:lang w:eastAsia="ru-RU"/>
        </w:rPr>
        <w:t xml:space="preserve"> (при наличии усиленной квалифицированной электронной подписи). Заявления, направленные по почте или курьером, не принимаются к рассмотрению. Это сделано с целью предотвращения мошеннических действий со стороны недобросовестных агентов НПФ.</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Граждане должны </w:t>
      </w:r>
      <w:r w:rsidR="00BD2AF2" w:rsidRPr="00790482">
        <w:rPr>
          <w:rFonts w:ascii="Times New Roman" w:eastAsia="Times New Roman" w:hAnsi="Times New Roman" w:cs="Times New Roman"/>
          <w:sz w:val="28"/>
          <w:szCs w:val="28"/>
          <w:lang w:eastAsia="ru-RU"/>
        </w:rPr>
        <w:t xml:space="preserve">помнить, что при смене страховщика пенсионных накоплений чаще одного раза в пять лет, то есть досрочно, возможна потеря </w:t>
      </w:r>
      <w:r w:rsidR="00BD2AF2" w:rsidRPr="00790482">
        <w:rPr>
          <w:rFonts w:ascii="Times New Roman" w:eastAsia="Times New Roman" w:hAnsi="Times New Roman" w:cs="Times New Roman"/>
          <w:sz w:val="28"/>
          <w:szCs w:val="28"/>
          <w:lang w:eastAsia="ru-RU"/>
        </w:rPr>
        <w:lastRenderedPageBreak/>
        <w:t>инвестиционного дохода, полученного предыдущим страховщиком. О рисках потери инвестиционного дохода граждан обязаны информировать по месту подачи заявления. Сумма убытка отображается в уведомлении, которое человек в обязательном порядке подписывает при подаче заявления.</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2AF2" w:rsidRPr="00790482">
        <w:rPr>
          <w:rFonts w:ascii="Times New Roman" w:eastAsia="Times New Roman" w:hAnsi="Times New Roman" w:cs="Times New Roman"/>
          <w:sz w:val="28"/>
          <w:szCs w:val="28"/>
          <w:lang w:eastAsia="ru-RU"/>
        </w:rPr>
        <w:t>Если гражданин принял решение изменить условия инвестирования пенсионных накоплений, то необходимо соблюсти сроки подачи заявлений. В разных случаях эти сроки разные.</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sidR="00BD2AF2" w:rsidRPr="00790482">
        <w:rPr>
          <w:rFonts w:ascii="Times New Roman" w:eastAsia="Times New Roman" w:hAnsi="Times New Roman" w:cs="Times New Roman"/>
          <w:sz w:val="28"/>
          <w:szCs w:val="28"/>
          <w:lang w:eastAsia="ru-RU"/>
        </w:rPr>
        <w:t xml:space="preserve">Так, при желании перевести накопления в НПФ </w:t>
      </w:r>
      <w:r>
        <w:rPr>
          <w:rFonts w:ascii="Times New Roman" w:eastAsia="Times New Roman" w:hAnsi="Times New Roman" w:cs="Times New Roman"/>
          <w:sz w:val="28"/>
          <w:szCs w:val="28"/>
          <w:lang w:eastAsia="ru-RU"/>
        </w:rPr>
        <w:t>гражданину</w:t>
      </w:r>
      <w:r w:rsidR="00BD2AF2" w:rsidRPr="00790482">
        <w:rPr>
          <w:rFonts w:ascii="Times New Roman" w:eastAsia="Times New Roman" w:hAnsi="Times New Roman" w:cs="Times New Roman"/>
          <w:sz w:val="28"/>
          <w:szCs w:val="28"/>
          <w:lang w:eastAsia="ru-RU"/>
        </w:rPr>
        <w:t xml:space="preserve"> необходимо: во-первых, заключить с НПФ договор об обязательном пенсионном страховании, во-вторых, не позднее 1 декабря подать в Пенсионный фонд РФ заявление о переходе в данный НПФ.</w:t>
      </w:r>
      <w:proofErr w:type="gramEnd"/>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2AF2" w:rsidRPr="00790482">
        <w:rPr>
          <w:rFonts w:ascii="Times New Roman" w:eastAsia="Times New Roman" w:hAnsi="Times New Roman" w:cs="Times New Roman"/>
          <w:sz w:val="28"/>
          <w:szCs w:val="28"/>
          <w:lang w:eastAsia="ru-RU"/>
        </w:rPr>
        <w:t xml:space="preserve">Если гражданин пожелал перейти </w:t>
      </w:r>
      <w:proofErr w:type="gramStart"/>
      <w:r w:rsidR="00BD2AF2" w:rsidRPr="00790482">
        <w:rPr>
          <w:rFonts w:ascii="Times New Roman" w:eastAsia="Times New Roman" w:hAnsi="Times New Roman" w:cs="Times New Roman"/>
          <w:sz w:val="28"/>
          <w:szCs w:val="28"/>
          <w:lang w:eastAsia="ru-RU"/>
        </w:rPr>
        <w:t>в</w:t>
      </w:r>
      <w:proofErr w:type="gramEnd"/>
      <w:r w:rsidR="00BD2AF2" w:rsidRPr="00790482">
        <w:rPr>
          <w:rFonts w:ascii="Times New Roman" w:eastAsia="Times New Roman" w:hAnsi="Times New Roman" w:cs="Times New Roman"/>
          <w:sz w:val="28"/>
          <w:szCs w:val="28"/>
          <w:lang w:eastAsia="ru-RU"/>
        </w:rPr>
        <w:t xml:space="preserve"> </w:t>
      </w:r>
      <w:proofErr w:type="gramStart"/>
      <w:r w:rsidR="00BD2AF2" w:rsidRPr="00790482">
        <w:rPr>
          <w:rFonts w:ascii="Times New Roman" w:eastAsia="Times New Roman" w:hAnsi="Times New Roman" w:cs="Times New Roman"/>
          <w:sz w:val="28"/>
          <w:szCs w:val="28"/>
          <w:lang w:eastAsia="ru-RU"/>
        </w:rPr>
        <w:t>ГУК</w:t>
      </w:r>
      <w:proofErr w:type="gramEnd"/>
      <w:r w:rsidR="00BD2AF2" w:rsidRPr="00790482">
        <w:rPr>
          <w:rFonts w:ascii="Times New Roman" w:eastAsia="Times New Roman" w:hAnsi="Times New Roman" w:cs="Times New Roman"/>
          <w:sz w:val="28"/>
          <w:szCs w:val="28"/>
          <w:lang w:eastAsia="ru-RU"/>
        </w:rPr>
        <w:t xml:space="preserve"> или частную УК, то достаточно подать соответствующее заявление в Пенсионный фонд РФ или МФЦ. В этом случае срок — до 31 декабря.</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2AF2" w:rsidRPr="00790482">
        <w:rPr>
          <w:rFonts w:ascii="Times New Roman" w:eastAsia="Times New Roman" w:hAnsi="Times New Roman" w:cs="Times New Roman"/>
          <w:sz w:val="28"/>
          <w:szCs w:val="28"/>
          <w:lang w:eastAsia="ru-RU"/>
        </w:rPr>
        <w:t xml:space="preserve">И последнее. Если человек изменил свое решение: желает выбрать иную </w:t>
      </w:r>
      <w:proofErr w:type="gramStart"/>
      <w:r w:rsidR="00BD2AF2" w:rsidRPr="00790482">
        <w:rPr>
          <w:rFonts w:ascii="Times New Roman" w:eastAsia="Times New Roman" w:hAnsi="Times New Roman" w:cs="Times New Roman"/>
          <w:sz w:val="28"/>
          <w:szCs w:val="28"/>
          <w:lang w:eastAsia="ru-RU"/>
        </w:rPr>
        <w:t>структуру</w:t>
      </w:r>
      <w:proofErr w:type="gramEnd"/>
      <w:r w:rsidR="00BD2AF2" w:rsidRPr="00790482">
        <w:rPr>
          <w:rFonts w:ascii="Times New Roman" w:eastAsia="Times New Roman" w:hAnsi="Times New Roman" w:cs="Times New Roman"/>
          <w:sz w:val="28"/>
          <w:szCs w:val="28"/>
          <w:lang w:eastAsia="ru-RU"/>
        </w:rPr>
        <w:t xml:space="preserve"> нежели уже указал в заявлении либо вовсе не хочет ничего менять, то уведомление о замене и отказе соответственно, ему надо подать в клиентскую службу Пенсионного фонда РФ не позднее 31 декабря.</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2AF2" w:rsidRPr="00790482">
        <w:rPr>
          <w:rFonts w:ascii="Times New Roman" w:eastAsia="Times New Roman" w:hAnsi="Times New Roman" w:cs="Times New Roman"/>
          <w:sz w:val="28"/>
          <w:szCs w:val="28"/>
          <w:lang w:eastAsia="ru-RU"/>
        </w:rPr>
        <w:t>Во всех случаях документы будут рассмотрены до 1 марта года, следующего за годом подачи заявления, если гражданин подал заявление о досрочном переходе (на следующий год). Либо до 1 марта года, следующего за годом, в котором истекает пятилетний срок после подачи заявления гражданина о срочном переходе (через 5 лет). В срок не позднее 31 марта будет произведен перевод средств. Отсчет периода формирования средств пенсионных накоплений у нового страховщика начнется с года, в котором осуществлен перевод средств.</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2AF2" w:rsidRPr="00790482">
        <w:rPr>
          <w:rFonts w:ascii="Times New Roman" w:eastAsia="Times New Roman" w:hAnsi="Times New Roman" w:cs="Times New Roman"/>
          <w:sz w:val="28"/>
          <w:szCs w:val="28"/>
          <w:lang w:eastAsia="ru-RU"/>
        </w:rPr>
        <w:t xml:space="preserve">Узнать дату последнего перехода в УК или НПФ можно в выписке индивидуального лицевого счета в сервисе </w:t>
      </w:r>
      <w:hyperlink r:id="rId4" w:anchor="services-f" w:history="1">
        <w:r w:rsidR="00BD2AF2" w:rsidRPr="00790482">
          <w:rPr>
            <w:rFonts w:ascii="Times New Roman" w:eastAsia="Times New Roman" w:hAnsi="Times New Roman" w:cs="Times New Roman"/>
            <w:color w:val="0000FF"/>
            <w:sz w:val="28"/>
            <w:szCs w:val="28"/>
            <w:u w:val="single"/>
            <w:lang w:eastAsia="ru-RU"/>
          </w:rPr>
          <w:t>«Личный кабинет гражданина»</w:t>
        </w:r>
      </w:hyperlink>
      <w:r w:rsidR="00BD2AF2" w:rsidRPr="00790482">
        <w:rPr>
          <w:rFonts w:ascii="Times New Roman" w:eastAsia="Times New Roman" w:hAnsi="Times New Roman" w:cs="Times New Roman"/>
          <w:sz w:val="28"/>
          <w:szCs w:val="28"/>
          <w:lang w:eastAsia="ru-RU"/>
        </w:rPr>
        <w:t xml:space="preserve"> на сайте ПФР.</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sz w:val="28"/>
          <w:szCs w:val="28"/>
        </w:rPr>
        <w:t xml:space="preserve">       </w:t>
      </w:r>
      <w:hyperlink r:id="rId5" w:history="1">
        <w:r w:rsidR="00BD2AF2" w:rsidRPr="00790482">
          <w:rPr>
            <w:rFonts w:ascii="Times New Roman" w:eastAsia="Times New Roman" w:hAnsi="Times New Roman" w:cs="Times New Roman"/>
            <w:color w:val="0000FF"/>
            <w:sz w:val="28"/>
            <w:szCs w:val="28"/>
            <w:u w:val="single"/>
            <w:lang w:eastAsia="ru-RU"/>
          </w:rPr>
          <w:t>Перечень НПФ и УК</w:t>
        </w:r>
      </w:hyperlink>
      <w:r w:rsidR="00BD2AF2" w:rsidRPr="00790482">
        <w:rPr>
          <w:rFonts w:ascii="Times New Roman" w:eastAsia="Times New Roman" w:hAnsi="Times New Roman" w:cs="Times New Roman"/>
          <w:sz w:val="28"/>
          <w:szCs w:val="28"/>
          <w:lang w:eastAsia="ru-RU"/>
        </w:rPr>
        <w:t xml:space="preserve">, а также </w:t>
      </w:r>
      <w:hyperlink r:id="rId6" w:history="1">
        <w:r w:rsidR="00BD2AF2" w:rsidRPr="00790482">
          <w:rPr>
            <w:rFonts w:ascii="Times New Roman" w:eastAsia="Times New Roman" w:hAnsi="Times New Roman" w:cs="Times New Roman"/>
            <w:color w:val="0000FF"/>
            <w:sz w:val="28"/>
            <w:szCs w:val="28"/>
            <w:u w:val="single"/>
            <w:lang w:eastAsia="ru-RU"/>
          </w:rPr>
          <w:t>уровень доходности управляющих компаний</w:t>
        </w:r>
      </w:hyperlink>
      <w:r w:rsidR="00BD2AF2" w:rsidRPr="00790482">
        <w:rPr>
          <w:rFonts w:ascii="Times New Roman" w:eastAsia="Times New Roman" w:hAnsi="Times New Roman" w:cs="Times New Roman"/>
          <w:sz w:val="28"/>
          <w:szCs w:val="28"/>
          <w:lang w:eastAsia="ru-RU"/>
        </w:rPr>
        <w:t xml:space="preserve"> представлены на сайте ПФР в разделе «Будущим пенсионерам» — подразделе «О пенсионных накоплениях».</w:t>
      </w:r>
    </w:p>
    <w:p w:rsidR="00BD2AF2" w:rsidRPr="00790482" w:rsidRDefault="00790482" w:rsidP="00BD2AF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2AF2" w:rsidRPr="00790482">
        <w:rPr>
          <w:rFonts w:ascii="Times New Roman" w:eastAsia="Times New Roman" w:hAnsi="Times New Roman" w:cs="Times New Roman"/>
          <w:sz w:val="28"/>
          <w:szCs w:val="28"/>
          <w:lang w:eastAsia="ru-RU"/>
        </w:rPr>
        <w:t>С информацией о доходности НПФ можно ознакомиться на сайте Центробанка, на сайтах рейтинговых агентств, а также на сайтах самих НПФ.</w:t>
      </w:r>
    </w:p>
    <w:p w:rsidR="004D7E97" w:rsidRPr="00790482" w:rsidRDefault="004D7E97" w:rsidP="009D2B21">
      <w:pPr>
        <w:rPr>
          <w:sz w:val="28"/>
          <w:szCs w:val="28"/>
        </w:rPr>
      </w:pPr>
    </w:p>
    <w:sectPr w:rsidR="004D7E97" w:rsidRPr="00790482" w:rsidSect="009D2B21">
      <w:pgSz w:w="11906" w:h="16838"/>
      <w:pgMar w:top="238" w:right="851"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drawingGridHorizontalSpacing w:val="110"/>
  <w:displayHorizontalDrawingGridEvery w:val="2"/>
  <w:characterSpacingControl w:val="doNotCompress"/>
  <w:compat/>
  <w:rsids>
    <w:rsidRoot w:val="001B1BF5"/>
    <w:rsid w:val="001B1BF5"/>
    <w:rsid w:val="00284407"/>
    <w:rsid w:val="002C08F3"/>
    <w:rsid w:val="004148EB"/>
    <w:rsid w:val="004D7E97"/>
    <w:rsid w:val="00790482"/>
    <w:rsid w:val="009D2B21"/>
    <w:rsid w:val="009D39BB"/>
    <w:rsid w:val="00BD2AF2"/>
    <w:rsid w:val="00D032B2"/>
    <w:rsid w:val="00E26E25"/>
    <w:rsid w:val="00F62B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E97"/>
  </w:style>
  <w:style w:type="paragraph" w:styleId="1">
    <w:name w:val="heading 1"/>
    <w:basedOn w:val="a"/>
    <w:link w:val="10"/>
    <w:uiPriority w:val="9"/>
    <w:qFormat/>
    <w:rsid w:val="00BD2A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BD2AF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1B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B1B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1BF5"/>
    <w:rPr>
      <w:rFonts w:ascii="Tahoma" w:hAnsi="Tahoma" w:cs="Tahoma"/>
      <w:sz w:val="16"/>
      <w:szCs w:val="16"/>
    </w:rPr>
  </w:style>
  <w:style w:type="character" w:customStyle="1" w:styleId="10">
    <w:name w:val="Заголовок 1 Знак"/>
    <w:basedOn w:val="a0"/>
    <w:link w:val="1"/>
    <w:uiPriority w:val="9"/>
    <w:rsid w:val="00BD2AF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BD2AF2"/>
    <w:rPr>
      <w:rFonts w:ascii="Times New Roman" w:eastAsia="Times New Roman" w:hAnsi="Times New Roman" w:cs="Times New Roman"/>
      <w:b/>
      <w:bCs/>
      <w:sz w:val="27"/>
      <w:szCs w:val="27"/>
      <w:lang w:eastAsia="ru-RU"/>
    </w:rPr>
  </w:style>
  <w:style w:type="paragraph" w:styleId="a6">
    <w:name w:val="Normal (Web)"/>
    <w:basedOn w:val="a"/>
    <w:uiPriority w:val="99"/>
    <w:semiHidden/>
    <w:unhideWhenUsed/>
    <w:rsid w:val="00BD2A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highlight">
    <w:name w:val="text-highlight"/>
    <w:basedOn w:val="a0"/>
    <w:rsid w:val="00BD2AF2"/>
  </w:style>
  <w:style w:type="character" w:styleId="a7">
    <w:name w:val="Hyperlink"/>
    <w:basedOn w:val="a0"/>
    <w:uiPriority w:val="99"/>
    <w:semiHidden/>
    <w:unhideWhenUsed/>
    <w:rsid w:val="00BD2AF2"/>
    <w:rPr>
      <w:color w:val="0000FF"/>
      <w:u w:val="single"/>
    </w:rPr>
  </w:style>
</w:styles>
</file>

<file path=word/webSettings.xml><?xml version="1.0" encoding="utf-8"?>
<w:webSettings xmlns:r="http://schemas.openxmlformats.org/officeDocument/2006/relationships" xmlns:w="http://schemas.openxmlformats.org/wordprocessingml/2006/main">
  <w:divs>
    <w:div w:id="193660827">
      <w:bodyDiv w:val="1"/>
      <w:marLeft w:val="0"/>
      <w:marRight w:val="0"/>
      <w:marTop w:val="0"/>
      <w:marBottom w:val="0"/>
      <w:divBdr>
        <w:top w:val="none" w:sz="0" w:space="0" w:color="auto"/>
        <w:left w:val="none" w:sz="0" w:space="0" w:color="auto"/>
        <w:bottom w:val="none" w:sz="0" w:space="0" w:color="auto"/>
        <w:right w:val="none" w:sz="0" w:space="0" w:color="auto"/>
      </w:divBdr>
      <w:divsChild>
        <w:div w:id="2141266314">
          <w:marLeft w:val="0"/>
          <w:marRight w:val="0"/>
          <w:marTop w:val="0"/>
          <w:marBottom w:val="0"/>
          <w:divBdr>
            <w:top w:val="none" w:sz="0" w:space="0" w:color="auto"/>
            <w:left w:val="none" w:sz="0" w:space="0" w:color="auto"/>
            <w:bottom w:val="none" w:sz="0" w:space="0" w:color="auto"/>
            <w:right w:val="none" w:sz="0" w:space="0" w:color="auto"/>
          </w:divBdr>
        </w:div>
        <w:div w:id="990674559">
          <w:marLeft w:val="0"/>
          <w:marRight w:val="0"/>
          <w:marTop w:val="0"/>
          <w:marBottom w:val="0"/>
          <w:divBdr>
            <w:top w:val="none" w:sz="0" w:space="0" w:color="auto"/>
            <w:left w:val="none" w:sz="0" w:space="0" w:color="auto"/>
            <w:bottom w:val="none" w:sz="0" w:space="0" w:color="auto"/>
            <w:right w:val="none" w:sz="0" w:space="0" w:color="auto"/>
          </w:divBdr>
          <w:divsChild>
            <w:div w:id="483397561">
              <w:marLeft w:val="0"/>
              <w:marRight w:val="0"/>
              <w:marTop w:val="0"/>
              <w:marBottom w:val="0"/>
              <w:divBdr>
                <w:top w:val="none" w:sz="0" w:space="0" w:color="auto"/>
                <w:left w:val="none" w:sz="0" w:space="0" w:color="auto"/>
                <w:bottom w:val="none" w:sz="0" w:space="0" w:color="auto"/>
                <w:right w:val="none" w:sz="0" w:space="0" w:color="auto"/>
              </w:divBdr>
              <w:divsChild>
                <w:div w:id="127228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979433">
      <w:bodyDiv w:val="1"/>
      <w:marLeft w:val="0"/>
      <w:marRight w:val="0"/>
      <w:marTop w:val="0"/>
      <w:marBottom w:val="0"/>
      <w:divBdr>
        <w:top w:val="none" w:sz="0" w:space="0" w:color="auto"/>
        <w:left w:val="none" w:sz="0" w:space="0" w:color="auto"/>
        <w:bottom w:val="none" w:sz="0" w:space="0" w:color="auto"/>
        <w:right w:val="none" w:sz="0" w:space="0" w:color="auto"/>
      </w:divBdr>
      <w:divsChild>
        <w:div w:id="1831209682">
          <w:marLeft w:val="0"/>
          <w:marRight w:val="0"/>
          <w:marTop w:val="0"/>
          <w:marBottom w:val="0"/>
          <w:divBdr>
            <w:top w:val="none" w:sz="0" w:space="0" w:color="auto"/>
            <w:left w:val="none" w:sz="0" w:space="0" w:color="auto"/>
            <w:bottom w:val="none" w:sz="0" w:space="0" w:color="auto"/>
            <w:right w:val="none" w:sz="0" w:space="0" w:color="auto"/>
          </w:divBdr>
        </w:div>
        <w:div w:id="455606696">
          <w:marLeft w:val="0"/>
          <w:marRight w:val="0"/>
          <w:marTop w:val="0"/>
          <w:marBottom w:val="0"/>
          <w:divBdr>
            <w:top w:val="none" w:sz="0" w:space="0" w:color="auto"/>
            <w:left w:val="none" w:sz="0" w:space="0" w:color="auto"/>
            <w:bottom w:val="none" w:sz="0" w:space="0" w:color="auto"/>
            <w:right w:val="none" w:sz="0" w:space="0" w:color="auto"/>
          </w:divBdr>
          <w:divsChild>
            <w:div w:id="77988498">
              <w:marLeft w:val="0"/>
              <w:marRight w:val="0"/>
              <w:marTop w:val="0"/>
              <w:marBottom w:val="0"/>
              <w:divBdr>
                <w:top w:val="none" w:sz="0" w:space="0" w:color="auto"/>
                <w:left w:val="none" w:sz="0" w:space="0" w:color="auto"/>
                <w:bottom w:val="none" w:sz="0" w:space="0" w:color="auto"/>
                <w:right w:val="none" w:sz="0" w:space="0" w:color="auto"/>
              </w:divBdr>
              <w:divsChild>
                <w:div w:id="69280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622705">
      <w:bodyDiv w:val="1"/>
      <w:marLeft w:val="0"/>
      <w:marRight w:val="0"/>
      <w:marTop w:val="0"/>
      <w:marBottom w:val="0"/>
      <w:divBdr>
        <w:top w:val="none" w:sz="0" w:space="0" w:color="auto"/>
        <w:left w:val="none" w:sz="0" w:space="0" w:color="auto"/>
        <w:bottom w:val="none" w:sz="0" w:space="0" w:color="auto"/>
        <w:right w:val="none" w:sz="0" w:space="0" w:color="auto"/>
      </w:divBdr>
      <w:divsChild>
        <w:div w:id="1451170314">
          <w:marLeft w:val="0"/>
          <w:marRight w:val="0"/>
          <w:marTop w:val="0"/>
          <w:marBottom w:val="0"/>
          <w:divBdr>
            <w:top w:val="none" w:sz="0" w:space="0" w:color="auto"/>
            <w:left w:val="none" w:sz="0" w:space="0" w:color="auto"/>
            <w:bottom w:val="none" w:sz="0" w:space="0" w:color="auto"/>
            <w:right w:val="none" w:sz="0" w:space="0" w:color="auto"/>
          </w:divBdr>
        </w:div>
        <w:div w:id="1210848286">
          <w:marLeft w:val="0"/>
          <w:marRight w:val="0"/>
          <w:marTop w:val="0"/>
          <w:marBottom w:val="0"/>
          <w:divBdr>
            <w:top w:val="none" w:sz="0" w:space="0" w:color="auto"/>
            <w:left w:val="none" w:sz="0" w:space="0" w:color="auto"/>
            <w:bottom w:val="none" w:sz="0" w:space="0" w:color="auto"/>
            <w:right w:val="none" w:sz="0" w:space="0" w:color="auto"/>
          </w:divBdr>
          <w:divsChild>
            <w:div w:id="94179848">
              <w:marLeft w:val="0"/>
              <w:marRight w:val="0"/>
              <w:marTop w:val="0"/>
              <w:marBottom w:val="0"/>
              <w:divBdr>
                <w:top w:val="none" w:sz="0" w:space="0" w:color="auto"/>
                <w:left w:val="none" w:sz="0" w:space="0" w:color="auto"/>
                <w:bottom w:val="none" w:sz="0" w:space="0" w:color="auto"/>
                <w:right w:val="none" w:sz="0" w:space="0" w:color="auto"/>
              </w:divBdr>
              <w:divsChild>
                <w:div w:id="205792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79064">
      <w:bodyDiv w:val="1"/>
      <w:marLeft w:val="0"/>
      <w:marRight w:val="0"/>
      <w:marTop w:val="0"/>
      <w:marBottom w:val="0"/>
      <w:divBdr>
        <w:top w:val="none" w:sz="0" w:space="0" w:color="auto"/>
        <w:left w:val="none" w:sz="0" w:space="0" w:color="auto"/>
        <w:bottom w:val="none" w:sz="0" w:space="0" w:color="auto"/>
        <w:right w:val="none" w:sz="0" w:space="0" w:color="auto"/>
      </w:divBdr>
      <w:divsChild>
        <w:div w:id="711226982">
          <w:marLeft w:val="0"/>
          <w:marRight w:val="0"/>
          <w:marTop w:val="0"/>
          <w:marBottom w:val="0"/>
          <w:divBdr>
            <w:top w:val="none" w:sz="0" w:space="0" w:color="auto"/>
            <w:left w:val="none" w:sz="0" w:space="0" w:color="auto"/>
            <w:bottom w:val="none" w:sz="0" w:space="0" w:color="auto"/>
            <w:right w:val="none" w:sz="0" w:space="0" w:color="auto"/>
          </w:divBdr>
        </w:div>
        <w:div w:id="1215392601">
          <w:marLeft w:val="0"/>
          <w:marRight w:val="0"/>
          <w:marTop w:val="0"/>
          <w:marBottom w:val="0"/>
          <w:divBdr>
            <w:top w:val="none" w:sz="0" w:space="0" w:color="auto"/>
            <w:left w:val="none" w:sz="0" w:space="0" w:color="auto"/>
            <w:bottom w:val="none" w:sz="0" w:space="0" w:color="auto"/>
            <w:right w:val="none" w:sz="0" w:space="0" w:color="auto"/>
          </w:divBdr>
          <w:divsChild>
            <w:div w:id="480581532">
              <w:marLeft w:val="0"/>
              <w:marRight w:val="0"/>
              <w:marTop w:val="0"/>
              <w:marBottom w:val="0"/>
              <w:divBdr>
                <w:top w:val="none" w:sz="0" w:space="0" w:color="auto"/>
                <w:left w:val="none" w:sz="0" w:space="0" w:color="auto"/>
                <w:bottom w:val="none" w:sz="0" w:space="0" w:color="auto"/>
                <w:right w:val="none" w:sz="0" w:space="0" w:color="auto"/>
              </w:divBdr>
              <w:divsChild>
                <w:div w:id="133294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frf.ru/grazdanam/pensions/pens_nak/osnov_sved_invest" TargetMode="External"/><Relationship Id="rId5" Type="http://schemas.openxmlformats.org/officeDocument/2006/relationships/hyperlink" Target="http://www.pfrf.ru/grazdanam/pensions/pens_nak/perech_npf_uk" TargetMode="External"/><Relationship Id="rId4" Type="http://schemas.openxmlformats.org/officeDocument/2006/relationships/hyperlink" Target="https://es.pfr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716</Words>
  <Characters>4082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Кудаева НА.</dc:creator>
  <cp:lastModifiedBy>Кудаева НА.</cp:lastModifiedBy>
  <cp:revision>3</cp:revision>
  <cp:lastPrinted>2019-06-10T06:26:00Z</cp:lastPrinted>
  <dcterms:created xsi:type="dcterms:W3CDTF">2020-09-24T11:17:00Z</dcterms:created>
  <dcterms:modified xsi:type="dcterms:W3CDTF">2020-09-24T11:41:00Z</dcterms:modified>
</cp:coreProperties>
</file>