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custom-properties+xml" PartName="/docProps/custom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76.0" w:type="dxa"/>
        <w:jc w:val="left"/>
        <w:tblInd w:w="72.0" w:type="dxa"/>
        <w:tblLayout w:type="fixed"/>
        <w:tblLook w:val="0000"/>
      </w:tblPr>
      <w:tblGrid>
        <w:gridCol w:w="5579"/>
        <w:gridCol w:w="130"/>
        <w:gridCol w:w="4997"/>
        <w:gridCol w:w="142"/>
        <w:gridCol w:w="5528"/>
        <w:tblGridChange w:id="0">
          <w:tblGrid>
            <w:gridCol w:w="5579"/>
            <w:gridCol w:w="130"/>
            <w:gridCol w:w="4997"/>
            <w:gridCol w:w="142"/>
            <w:gridCol w:w="5528"/>
          </w:tblGrid>
        </w:tblGridChange>
      </w:tblGrid>
      <w:tr>
        <w:trPr>
          <w:trHeight w:val="11000" w:hRule="atLeast"/>
        </w:trPr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  <w:rtl w:val="0"/>
              </w:rPr>
              <w:t xml:space="preserve">Продажа спиртных напитков детям строго запрещена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Российской Федерации на законодательном уровне установлен запрет на продажу спиртных напитков несовершеннолетним гражданам, которыми согласно статьи 1 Федерального закона от 24.07.1998 №124-ФЗ «Об основных гарантиях прав ребенка в Российской Федерации» считаются лица, не достигшее 18 лет.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Связано это с тем, что алкоголь на организм несовершеннолетних оказывает поистине разрушительное воздействие. Медики отмечают, что у детей и подростков алкоголизм возникает намного быстрее, чем у взрослых, и гораздо чаще отмечаются нарушения психической деятельности. Помимо медицинского аспекта, пьянство несовершеннолетних опасно ещё и социально. Подростки под влиянием алкоголя намного чаще совершают антиобщественные действия. При этом масштаб таких действий может быть абсолютно непредсказуемым — от обычного хулиганства до серьёзных преступлений: грабежей, убийств, изнасилований.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Именно в связи с этим в современном российском праве действия по продаже несовершеннолетнему алкоголя могут рассматриваться не только как административное правонарушение, но и как преступление.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9525a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9525ab"/>
                <w:sz w:val="26"/>
                <w:szCs w:val="26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1494790" cy="1494155"/>
                  <wp:effectExtent b="0" l="0" r="0" t="0"/>
                  <wp:docPr id="109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4941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9525a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При этом, в понятие «алкоголь» статья 2 Федерального закона от 22.11.1995 №171-ФЗ «О государственном регулировании производства и оборота этилового спирта и алкогольной спиртосодержащей продукции, и об ограничении потребления алкогольной продукции» относит напитки, содержащие 0,5% этилового спирта или продуктов его брожения. Статья 16 указанного закона устанавливает запрет на продажу всех разновидностей алкогольной продукции несовершеннолетним лицам. При этом следует отметить, что в перечень алкогольной продукции не попадают напитки, в которых содержится не больше 1,2 % спирта. Сюда следует включить кисломолочную продукцию, квас, тан, кумыс. Также под действие закона не подпадает безалкогольное пиво, так как процент этанола в нем меньше 0,5%. Однако отдельно следует остановиться на таком продукте, как пиво. Многие ошибочно полагают, что пиво не подпадает под действие законодательства о продаже алкоголя, так как процент спирта в нем небольшой. Это же необоснованно относят к слабоалкогольным напиткам. Однако, это неверно, так как в пункте 13 ст. 2 ФЗ-171 четко разъясняется, что пиво – это алкогольная продукция с содержанием этилового спирта, который образовался вследствие брожения пивного сусла. Следовательно, отступлений быть не может и продажа такого алкоголя несовершеннолетним запрещена.</w:t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  <w:rtl w:val="0"/>
              </w:rPr>
              <w:t xml:space="preserve">Прокуратура Атюрьевского района Республики Мордовия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3213100" cy="2002155"/>
                  <wp:effectExtent b="0" l="0" r="0" t="0"/>
                  <wp:docPr id="109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20021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206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206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НАШИ КООРДИНАТЫ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Прокуратура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Атюрьевского района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Республики Мордовия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431050, Республика Мордовия, Атюрьевский район,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с. Атюрьево, ул. Кирова, д.4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Телефон «прямой линии»: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8(843-54) 2-20-03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9525a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Эл. почта: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80"/>
                  <w:sz w:val="28"/>
                  <w:szCs w:val="28"/>
                  <w:u w:val="single"/>
                  <w:shd w:fill="auto" w:val="clear"/>
                  <w:vertAlign w:val="baseline"/>
                  <w:rtl w:val="0"/>
                </w:rPr>
                <w:t xml:space="preserve">aturjevo@prokrm.ru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000" w:hRule="atLeast"/>
        </w:trPr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  <w:rtl w:val="0"/>
              </w:rPr>
              <w:t xml:space="preserve">Ответственность за продажу алкогольной продукции несовершеннолетним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Действующее законодательство устанавливает, как административную, так и уголовную ответственность за продажу алкоголя несовершеннолетним.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Статья 14.16 Кодекса об административных правонарушениях (КоАП) РФ, предусматривает наказание за нарушение правил продажи спирта и алкогольной продукции. Конкретно ч. 2.1 этой статьи предусматривает административную ответственность за продажа несовершеннолетним алкоголя через розничную сеть. Данная норма предусматривает административное наказание в виде наложения административного штрафа на граждан в размере от тридцати тысяч до пятидесяти тысяч рублей; на должностных лиц - от ста тысяч до двухсот тысяч рублей; на юридических лиц - от трехсот тысяч до пятисот тысяч рублей.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Следует отметить, что ответственность за нарушение ограничений, связанных с продажей спиртных напитков несовершеннолетними несут несколько сторон: продавец, который переступил закон и продал продукцию лицу; руководитель или начальник отдела в магазине, владелец торговой точки. При этом это может быть не только магазин, но и место общественного питания, развлекательное заведение, торговый центр и так далее.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Неоднократная продажа спиртных напитков лицам, не достигшим 18 лет, влечет уже уголовную ответственность по статье 151.1 УК РФ.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9526</wp:posOffset>
                  </wp:positionH>
                  <wp:positionV relativeFrom="paragraph">
                    <wp:posOffset>158750</wp:posOffset>
                  </wp:positionV>
                  <wp:extent cx="3072130" cy="1653540"/>
                  <wp:effectExtent b="0" l="0" r="0" t="0"/>
                  <wp:wrapNone/>
                  <wp:docPr id="109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75365" l="20483" r="18128" t="12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130" cy="16535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 этом розничной продажей несовершеннолетнему алкогольной продукции, совершенной лицом неоднократно, признается розничная продажа лицом, подвергнутым административному наказанию за аналогичное деяние в период, когда лицо считается подвергнутым административному наказанию.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Уголовный закон предусматривает уже более строгое наказание, которое может быть назначено судом: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фиксированный штраф в размере от 50 000 до 80 000 рублей или в размере заработной платы или иного дохода осужденного за период от 3 до 6 месяцев;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173" w:right="178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исправительные работы сроком до 1 года с лишением права занимать определенные должности или заниматься определенной деятельностью на срок до 3 лет или без такового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" w:cs="Geo" w:eastAsia="Geo" w:hAnsi="Geo"/>
                <w:b w:val="0"/>
                <w:i w:val="0"/>
                <w:smallCaps w:val="0"/>
                <w:strike w:val="0"/>
                <w:color w:val="0070c0"/>
                <w:sz w:val="36"/>
                <w:szCs w:val="36"/>
                <w:u w:val="none"/>
                <w:shd w:fill="auto" w:val="clear"/>
                <w:vertAlign w:val="baseline"/>
                <w:rtl w:val="0"/>
              </w:rPr>
              <w:t xml:space="preserve">Ответственность за употребление спиртных напитков несовершеннолетними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Помимо лиц, осуществляющих продажу алкогольной продукции, ответственность за употребление спиртных напитков несовершеннолетними также несут их родители и иные законные представители (опекуны, усыновители, и др.).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Статья 20.22 КоАП РФ предусматривает ответственность родителей или официальных представителей подростка, который находится в состоянии алкогольного опьянения.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Данная норма влечет наложение административного штрафа на родителей или иных законных представителей несовершеннолетних в размере от 1500 до 2000 рублей.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3248025" cy="2270760"/>
                  <wp:effectExtent b="0" l="0" r="0" t="0"/>
                  <wp:docPr id="109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025" cy="2270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20" w:hRule="atLeast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12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985"/>
              </w:tabs>
              <w:spacing w:after="240" w:before="240" w:line="240" w:lineRule="auto"/>
              <w:ind w:left="265" w:right="15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54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5f497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0" w:top="426" w:left="283" w:right="28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Geo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Обычнаятаблица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rFonts w:ascii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rFonts w:ascii="Wingdings 2" w:hAnsi="Wingdings 2"/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rFonts w:ascii="StarSymbol" w:hAnsi="StarSymbol"/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Wingdings" w:cs="StarSymbol" w:hAnsi="Wingdings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Wingdings" w:cs="StarSymbol" w:hAnsi="Wingdings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7z2">
    <w:name w:val="WW8Num7z2"/>
    <w:next w:val="WW8Num7z2"/>
    <w:autoRedefine w:val="0"/>
    <w:hidden w:val="0"/>
    <w:qFormat w:val="0"/>
    <w:rPr>
      <w:rFonts w:ascii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шрифтабзаца2">
    <w:name w:val="Основной шрифт абзаца2"/>
    <w:next w:val="Основнойшрифтабзаца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Wingdings" w:cs="StarSymbol" w:hAnsi="Wingdings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Основнойшрифтабзаца1">
    <w:name w:val="Основной шрифт абзаца1"/>
    <w:next w:val="Основнойшрифтабзаца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Просмотреннаягиперссылка">
    <w:name w:val="Просмотренная гиперссылка"/>
    <w:next w:val="Просмотреннаягиперссылка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StarSymbol" w:cs="StarSymbol" w:eastAsia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Обычный"/>
    <w:next w:val="Основнойтекст"/>
    <w:autoRedefine w:val="0"/>
    <w:hidden w:val="0"/>
    <w:qFormat w:val="0"/>
    <w:pPr>
      <w:keepNext w:val="1"/>
      <w:widowControl w:val="0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Arial Unicode MS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widowControl w:val="0"/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hAnsi="Arial"/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Название3">
    <w:name w:val="Название3"/>
    <w:basedOn w:val="Обычный"/>
    <w:next w:val="Название3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Указатель3">
    <w:name w:val="Указатель3"/>
    <w:basedOn w:val="Обычный"/>
    <w:next w:val="Указатель3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Название2">
    <w:name w:val="Название2"/>
    <w:basedOn w:val="Обычный"/>
    <w:next w:val="Название2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hAnsi="Arial"/>
      <w:i w:val="1"/>
      <w:iCs w:val="1"/>
      <w:w w:val="100"/>
      <w:position w:val="-1"/>
      <w:sz w:val="20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Указатель2">
    <w:name w:val="Указатель2"/>
    <w:basedOn w:val="Обычный"/>
    <w:next w:val="Указатель2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hAnsi="Arial"/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Название1">
    <w:name w:val="Название1"/>
    <w:basedOn w:val="Обычный"/>
    <w:next w:val="Название1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hAnsi="Arial"/>
      <w:i w:val="1"/>
      <w:iCs w:val="1"/>
      <w:w w:val="100"/>
      <w:position w:val="-1"/>
      <w:sz w:val="20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Указатель1">
    <w:name w:val="Указатель1"/>
    <w:basedOn w:val="Обычный"/>
    <w:next w:val="Указатель1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hAnsi="Arial"/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Содержимоетаблицы">
    <w:name w:val="Содержимое таблицы"/>
    <w:basedOn w:val="Обычн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widowControl w:val="0"/>
      <w:suppressAutoHyphens w:val="0"/>
      <w:spacing w:line="1" w:lineRule="atLeast"/>
      <w:ind w:left="720" w:right="0" w:leftChars="-1" w:rightChars="0" w:firstLine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ar-SA"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10" Type="http://schemas.openxmlformats.org/officeDocument/2006/relationships/image" Target="media/image1.png"/><Relationship Id="rId5" Type="http://schemas.openxmlformats.org/officeDocument/2006/relationships/styles" Target="styles.xml"/><Relationship Id="rId8" Type="http://schemas.openxmlformats.org/officeDocument/2006/relationships/hyperlink" Target="mailto:aturjevo@prokrm.ru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3" Type="http://schemas.openxmlformats.org/officeDocument/2006/relationships/fontTable" Target="fontTable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2020-09-29T07:26:00Z</dcterms:created>
  <dc:creator>movchan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