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673F" w:rsidRDefault="00A0673F">
      <w:pPr>
        <w:jc w:val="right"/>
        <w:rPr>
          <w:rFonts w:ascii="Times New Roman" w:hAnsi="Times New Roman" w:cs="Times New Roman"/>
          <w:b/>
          <w:bCs/>
          <w:sz w:val="32"/>
          <w:szCs w:val="32"/>
        </w:rPr>
      </w:pPr>
      <w:r>
        <w:rPr>
          <w:rFonts w:ascii="Times New Roman" w:hAnsi="Times New Roman" w:cs="Times New Roman"/>
          <w:sz w:val="24"/>
          <w:szCs w:val="24"/>
        </w:rPr>
        <w:t xml:space="preserve">                                                                                   </w:t>
      </w:r>
    </w:p>
    <w:p w:rsidR="00A0673F" w:rsidRDefault="00A0673F">
      <w:pPr>
        <w:pStyle w:val="BodyText"/>
        <w:rPr>
          <w:rFonts w:ascii="Times New Roman" w:hAnsi="Times New Roman" w:cs="Times New Roman"/>
        </w:rPr>
      </w:pPr>
      <w:r>
        <w:rPr>
          <w:rFonts w:ascii="Times New Roman" w:hAnsi="Times New Roman" w:cs="Times New Roman"/>
        </w:rPr>
        <w:t>РЕСПУБЛИКА МОРДОВИЯ                                             АДМИНИСТРАЦИЯ                                                       КУРТАШКИНСКОГО СЕЛЬСКОГО ПОСЕЛЕНИЯ АТЮРЬЕВСКОГО МУНИЦИПАЛЬНОГО РАЙОНА</w:t>
      </w:r>
    </w:p>
    <w:p w:rsidR="00A0673F" w:rsidRDefault="00A0673F">
      <w:pPr>
        <w:jc w:val="center"/>
        <w:rPr>
          <w:rFonts w:ascii="Times New Roman" w:hAnsi="Times New Roman" w:cs="Times New Roman"/>
          <w:sz w:val="28"/>
          <w:szCs w:val="28"/>
        </w:rPr>
      </w:pPr>
    </w:p>
    <w:p w:rsidR="00A0673F" w:rsidRDefault="00A0673F">
      <w:pPr>
        <w:jc w:val="center"/>
        <w:rPr>
          <w:rFonts w:ascii="Times New Roman" w:hAnsi="Times New Roman" w:cs="Times New Roman"/>
          <w:b/>
          <w:bCs/>
          <w:sz w:val="32"/>
          <w:szCs w:val="32"/>
        </w:rPr>
      </w:pPr>
      <w:r>
        <w:rPr>
          <w:rFonts w:ascii="Times New Roman" w:hAnsi="Times New Roman" w:cs="Times New Roman"/>
          <w:b/>
          <w:bCs/>
          <w:sz w:val="32"/>
          <w:szCs w:val="32"/>
        </w:rPr>
        <w:t xml:space="preserve">ПОСТАНОВЛЕНИЕ </w:t>
      </w:r>
    </w:p>
    <w:p w:rsidR="00A0673F" w:rsidRDefault="00A0673F">
      <w:pPr>
        <w:jc w:val="center"/>
        <w:rPr>
          <w:rFonts w:ascii="Times New Roman" w:hAnsi="Times New Roman" w:cs="Times New Roman"/>
          <w:b/>
          <w:bCs/>
          <w:sz w:val="32"/>
          <w:szCs w:val="32"/>
        </w:rPr>
      </w:pPr>
    </w:p>
    <w:p w:rsidR="00A0673F" w:rsidRDefault="00A0673F">
      <w:pPr>
        <w:jc w:val="center"/>
        <w:rPr>
          <w:rFonts w:ascii="Times New Roman" w:hAnsi="Times New Roman" w:cs="Times New Roman"/>
          <w:sz w:val="28"/>
          <w:szCs w:val="28"/>
        </w:rPr>
      </w:pPr>
      <w:r>
        <w:rPr>
          <w:rFonts w:ascii="Times New Roman" w:hAnsi="Times New Roman" w:cs="Times New Roman"/>
          <w:b/>
          <w:bCs/>
          <w:sz w:val="32"/>
          <w:szCs w:val="32"/>
        </w:rPr>
        <w:t>от</w:t>
      </w:r>
      <w:r>
        <w:rPr>
          <w:rFonts w:ascii="Times New Roman" w:hAnsi="Times New Roman" w:cs="Times New Roman"/>
          <w:sz w:val="32"/>
          <w:szCs w:val="32"/>
        </w:rPr>
        <w:t xml:space="preserve"> </w:t>
      </w:r>
      <w:r>
        <w:rPr>
          <w:rFonts w:ascii="Times New Roman" w:hAnsi="Times New Roman" w:cs="Times New Roman"/>
          <w:b/>
          <w:bCs/>
          <w:sz w:val="32"/>
          <w:szCs w:val="32"/>
        </w:rPr>
        <w:t xml:space="preserve">  28. 05.2019  года  №  15</w:t>
      </w:r>
    </w:p>
    <w:p w:rsidR="00A0673F" w:rsidRDefault="00A0673F">
      <w:pPr>
        <w:rPr>
          <w:rFonts w:ascii="Times New Roman" w:hAnsi="Times New Roman" w:cs="Times New Roman"/>
          <w:sz w:val="28"/>
          <w:szCs w:val="28"/>
        </w:rPr>
      </w:pPr>
    </w:p>
    <w:p w:rsidR="00A0673F" w:rsidRDefault="00A0673F">
      <w:pPr>
        <w:pStyle w:val="ConsPlusTitle"/>
        <w:jc w:val="center"/>
        <w:rPr>
          <w:rStyle w:val="Strong"/>
          <w:b/>
          <w:bCs/>
          <w:sz w:val="32"/>
          <w:szCs w:val="32"/>
        </w:rPr>
      </w:pPr>
      <w:r>
        <w:rPr>
          <w:rStyle w:val="Strong"/>
          <w:b/>
          <w:bCs/>
          <w:sz w:val="32"/>
          <w:szCs w:val="32"/>
        </w:rPr>
        <w:t xml:space="preserve">О внесение изменений в постановление администрации Курташкинского сельского поселения Атюрьевского муниципального района Республики Мордовия </w:t>
      </w:r>
    </w:p>
    <w:p w:rsidR="00A0673F" w:rsidRDefault="00A0673F">
      <w:pPr>
        <w:pStyle w:val="ConsPlusTitle"/>
        <w:jc w:val="center"/>
        <w:rPr>
          <w:sz w:val="32"/>
          <w:szCs w:val="32"/>
        </w:rPr>
      </w:pPr>
      <w:r>
        <w:rPr>
          <w:rStyle w:val="Strong"/>
          <w:b/>
          <w:bCs/>
          <w:sz w:val="32"/>
          <w:szCs w:val="32"/>
        </w:rPr>
        <w:t>от 29.12.2018г№72</w:t>
      </w:r>
    </w:p>
    <w:p w:rsidR="00A0673F" w:rsidRDefault="00A0673F">
      <w:pPr>
        <w:rPr>
          <w:sz w:val="28"/>
          <w:szCs w:val="28"/>
        </w:rPr>
      </w:pPr>
    </w:p>
    <w:p w:rsidR="00A0673F" w:rsidRDefault="00A0673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Руководствуясь </w:t>
      </w:r>
      <w:hyperlink r:id="rId6" w:history="1">
        <w:r>
          <w:rPr>
            <w:rFonts w:ascii="Times New Roman" w:hAnsi="Times New Roman" w:cs="Times New Roman"/>
            <w:sz w:val="28"/>
            <w:szCs w:val="28"/>
          </w:rPr>
          <w:t>статьей 219</w:t>
        </w:r>
      </w:hyperlink>
      <w:r>
        <w:rPr>
          <w:rFonts w:ascii="Times New Roman" w:hAnsi="Times New Roman" w:cs="Times New Roman"/>
          <w:sz w:val="28"/>
          <w:szCs w:val="28"/>
        </w:rPr>
        <w:t xml:space="preserve"> Бюджетного кодекса Российской Федерации, приказываю:</w:t>
      </w:r>
    </w:p>
    <w:p w:rsidR="00A0673F" w:rsidRDefault="00A0673F">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1. Внести в Порядок учета бюджетных и денежных обязательств получателей средств бюджета Курташкинского сельского поселения Атюрьевского муниципального района Республики Мордовия, утвержденный постановлением администрации Курташкинского сельского поселения Атюрьевского муниципального района Республики Мордовия от 29 декабря 2018 года № 72, следующие изменения:</w:t>
      </w:r>
    </w:p>
    <w:p w:rsidR="00A0673F" w:rsidRDefault="00A0673F">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1) в пункте 12:</w:t>
      </w:r>
    </w:p>
    <w:p w:rsidR="00A0673F" w:rsidRDefault="00A0673F">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часть вторую дополнить абзацами следующего содержания:</w:t>
      </w:r>
    </w:p>
    <w:p w:rsidR="00A0673F" w:rsidRDefault="00A0673F">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«наличие в Сведениях о бюджетном обязательстве идентификатора муниципального контракта (контракта, договора, соглашения), сформированного в соответствии с порядком, утвержденным приказом Федерального казначейства от 9 января 2019 г. № 3н (далее – идентификатор муниципального контракта (контракта, договора, соглашения)), в случае, если по муниципальному контракту (контракту, договору, соглашению) осуществляются платежи, подлежащие казначейскому сопровождению в соответствии 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 275н;</w:t>
      </w:r>
    </w:p>
    <w:p w:rsidR="00A0673F" w:rsidRDefault="00A0673F">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соответствие указанного в Сведениях о бюджетном обязательстве идентификатора муниципального контракта (контракта, договора, соглашения), идентификатору муниципального контракта (контракта, договора, соглашения), указанному в документе-основания.»;</w:t>
      </w:r>
    </w:p>
    <w:p w:rsidR="00A0673F" w:rsidRDefault="00A0673F">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в части третьей слова «абзацем восьмым» заменить словами «абзацем пятым части второй»;</w:t>
      </w:r>
    </w:p>
    <w:p w:rsidR="00A0673F" w:rsidRDefault="00A0673F">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дополнить частью четвертой следующего содержания:</w:t>
      </w:r>
    </w:p>
    <w:p w:rsidR="00A0673F" w:rsidRDefault="00A0673F">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«При постановке на учет бюджетного обязательства (внесение изменений в поставленное на учет бюджетное обязательство) орган, осуществляющий открытие и ведение лицевых счетов, осуществляет проверку предмета бюджетного обязательства, наименование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пунктами 1 – 9 графы 2 Перечня, на предмет соблюдения запрета на финансовое обеспечение за счет средств районного бюджета капитальных вложений в объекты муниципальной собственности (в том числе в форме субсидий и иных межбюджетных трансфертов местным бюджетам), кроме случаев, когда в целях софинансирования (финансового обеспечения) капитальных вложений в объекты муниципальной собственности из федерального бюджета предоставляются субсидии и иные межбюджетные трансферты бюджету Курташкинского сельского поселения Атюрьевского муниципального района Республики Мордовия.»;</w:t>
      </w:r>
    </w:p>
    <w:p w:rsidR="00A0673F" w:rsidRDefault="00A0673F">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2) в пункте 16:</w:t>
      </w:r>
    </w:p>
    <w:p w:rsidR="00A0673F" w:rsidRDefault="00A0673F">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в абзаце втором слова «абзацами пятым – седьмым, девятым» заменить словами «абзацами вторым – четвертым, шестым – восьмым части второй, части четвертой»;</w:t>
      </w:r>
    </w:p>
    <w:p w:rsidR="00A0673F" w:rsidRDefault="00A0673F">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в абзаце третьем слова «абзацем восьмым» заменить словами «абзацем пятым части второй»;</w:t>
      </w:r>
    </w:p>
    <w:p w:rsidR="00A0673F" w:rsidRDefault="00A0673F">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3) в пункте 17:</w:t>
      </w:r>
    </w:p>
    <w:p w:rsidR="00A0673F" w:rsidRDefault="00A0673F">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в части второй слова «в абзаце первом» заменить словами «в части первой»;</w:t>
      </w:r>
    </w:p>
    <w:p w:rsidR="00A0673F" w:rsidRDefault="00A0673F">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часть третью изложить в следующей редакции:</w:t>
      </w:r>
    </w:p>
    <w:p w:rsidR="00A0673F" w:rsidRDefault="00A0673F">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абзацем пятым части второй пункта 12 настоящего Порядка, орган, осуществляющий открытие и ведение лицевых счетов, направляет для сведения главному распорядителю средств районного бюджета, в ведении которого находится получатель средств районного бюджета, получателю средств районного бюджета Уведомление о превышении бюджетным обязательством неиспользованных лимитов бюджетных обязательств не позднее следующего рабочего дня после дня совершения операций, предусмотренных настоящим пунктом.»;</w:t>
      </w:r>
    </w:p>
    <w:p w:rsidR="00A0673F" w:rsidRDefault="00A0673F">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 xml:space="preserve">часть четвертую исключить; </w:t>
      </w:r>
    </w:p>
    <w:p w:rsidR="00A0673F" w:rsidRDefault="00A0673F">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4) строку 13 таблицы приложения 3 изложить в следующей редакции:</w:t>
      </w:r>
    </w:p>
    <w:tbl>
      <w:tblPr>
        <w:tblW w:w="0" w:type="auto"/>
        <w:tblInd w:w="-60" w:type="dxa"/>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tblPr>
      <w:tblGrid>
        <w:gridCol w:w="567"/>
        <w:gridCol w:w="3969"/>
        <w:gridCol w:w="5103"/>
      </w:tblGrid>
      <w:tr w:rsidR="00A0673F">
        <w:trPr>
          <w:cantSplit/>
        </w:trPr>
        <w:tc>
          <w:tcPr>
            <w:tcW w:w="567" w:type="dxa"/>
            <w:vMerge w:val="restart"/>
            <w:tcBorders>
              <w:top w:val="single" w:sz="4" w:space="0" w:color="auto"/>
              <w:bottom w:val="single" w:sz="4" w:space="0" w:color="auto"/>
              <w:right w:val="single" w:sz="4" w:space="0" w:color="auto"/>
            </w:tcBorders>
          </w:tcPr>
          <w:p w:rsidR="00A0673F" w:rsidRDefault="00A0673F">
            <w:pPr>
              <w:pStyle w:val="ConsPlusNormal"/>
              <w:jc w:val="center"/>
              <w:rPr>
                <w:rFonts w:ascii="Times New Roman" w:hAnsi="Times New Roman" w:cs="Times New Roman"/>
                <w:sz w:val="28"/>
                <w:szCs w:val="28"/>
              </w:rPr>
            </w:pPr>
            <w:r>
              <w:rPr>
                <w:rFonts w:ascii="Times New Roman" w:hAnsi="Times New Roman" w:cs="Times New Roman"/>
                <w:sz w:val="28"/>
                <w:szCs w:val="28"/>
              </w:rPr>
              <w:t>13.</w:t>
            </w:r>
          </w:p>
        </w:tc>
        <w:tc>
          <w:tcPr>
            <w:tcW w:w="3969" w:type="dxa"/>
            <w:vMerge w:val="restart"/>
            <w:tcBorders>
              <w:top w:val="single" w:sz="4" w:space="0" w:color="auto"/>
              <w:left w:val="single" w:sz="4" w:space="0" w:color="auto"/>
              <w:bottom w:val="single" w:sz="4" w:space="0" w:color="auto"/>
              <w:right w:val="single" w:sz="4" w:space="0" w:color="auto"/>
            </w:tcBorders>
          </w:tcPr>
          <w:p w:rsidR="00A0673F" w:rsidRDefault="00A0673F">
            <w:pPr>
              <w:pStyle w:val="ConsPlusNormal"/>
              <w:rPr>
                <w:rFonts w:ascii="Times New Roman" w:hAnsi="Times New Roman" w:cs="Times New Roman"/>
                <w:sz w:val="28"/>
                <w:szCs w:val="28"/>
              </w:rPr>
            </w:pPr>
          </w:p>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 xml:space="preserve">Документ, не определенный </w:t>
            </w:r>
            <w:hyperlink w:anchor="Par710" w:tooltip="Извещение об осуществлении закупки, за исключением извещений об осуществлении закупок, указанных в пункте 13 настоящего перечня" w:history="1">
              <w:r>
                <w:rPr>
                  <w:rFonts w:ascii="Times New Roman" w:hAnsi="Times New Roman" w:cs="Times New Roman"/>
                  <w:sz w:val="28"/>
                  <w:szCs w:val="28"/>
                </w:rPr>
                <w:t>пунктами 1</w:t>
              </w:r>
            </w:hyperlink>
            <w:r>
              <w:rPr>
                <w:rFonts w:ascii="Times New Roman" w:hAnsi="Times New Roman" w:cs="Times New Roman"/>
                <w:sz w:val="28"/>
                <w:szCs w:val="28"/>
              </w:rPr>
              <w:t xml:space="preserve"> - </w:t>
            </w:r>
            <w:hyperlink w:anchor="Par801" w:tooltip="12." w:history="1">
              <w:r>
                <w:rPr>
                  <w:rFonts w:ascii="Times New Roman" w:hAnsi="Times New Roman" w:cs="Times New Roman"/>
                  <w:sz w:val="28"/>
                  <w:szCs w:val="28"/>
                </w:rPr>
                <w:t>12</w:t>
              </w:r>
            </w:hyperlink>
            <w:r>
              <w:rPr>
                <w:rFonts w:ascii="Times New Roman" w:hAnsi="Times New Roman" w:cs="Times New Roman"/>
                <w:sz w:val="28"/>
                <w:szCs w:val="28"/>
              </w:rPr>
              <w:t xml:space="preserve"> настоящего перечня, в соответствии с которым возникает бюджетное обязательство получателя средств бюджета Курташкинского сельского поселения Атюрьевского муниципального района Республики Мордовия:</w:t>
            </w:r>
          </w:p>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Курташкинского сельского поселения Атюрьевского муниципального района Республики Мордовия не направлены информация и документы по указанному договору для их включения в реестр контрактов;</w:t>
            </w:r>
          </w:p>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 извещение об осуществлении закупки финансовых услуг по предоставлению кредита для финансирования дефицита бюджета Курташкинского сельского поселения Атюрьевского муниципального района Республики Мордовия и (или) погашения муниципальных долговых обязательств;</w:t>
            </w:r>
          </w:p>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 приглашение принять участие в определении исполнителя финансовых услуг по предоставлению кредита для финансирования дефицита бюджета Курташкинского сельского поселения  Атюрьевского муниципального района Республики Мордовия и (или) погашения муниципальных долговых обязательств;</w:t>
            </w:r>
          </w:p>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 муниципальный котракт (договор) на оказание финансовых услуг по предоставлению кредита для финансирования дефицита бюджета Курташкинского сельского поселения  Атюрьевского муниципального района Республики Мордовия и (или) погашения муниципальных долговых обязательств;</w:t>
            </w:r>
          </w:p>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 муниципальный контракт (договор) на оказание получателям социальных выплат банковских услуг;</w:t>
            </w:r>
          </w:p>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 правовой акт, предусматривающий предоставление из бюджета Курташкинского сельского поселения Атюрьевского муниципального района Республики Мордовия бюджетам муниципальных образований межбюджетного трансферта в форме дотаций на выравнивание бюджетной обеспеченности;</w:t>
            </w:r>
          </w:p>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 правовой акт, предусматривающий предоставление из бюджета Курташкинского сельского поселения Атюрьевского муниципального района Республики Мордовия бюджетам муниципальных образований межбюджетного трансферта в форме субсидий на софинансирование расходных обязательств, возникающих при выполнении полномочий органов местного самоуправления, выплачиваемых в зависимости от выполнения социально-экономических показателей;</w:t>
            </w:r>
          </w:p>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 xml:space="preserve">- правовой акт, предусматривающий предоставление из бюджета Курташкинского сельского поселения Атюрьевского муниципального района Республики Мордовия бюджетам муниципальных образований межбюджетного трансферта на софинансирование расходных обязательств; </w:t>
            </w:r>
          </w:p>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 правовой акт, предусматривающий предоставление из бюджета Курташкинского сельского поселения Атюрьевского муниципального района Республики Мордовия бюджетам муниципальных образований межбюджетного трансферта из резервного фонда бюджета Курташкинского сельского поселения Атюрьевского муниципального района Республики Мордовия на обеспечение непредвиденных</w:t>
            </w:r>
          </w:p>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 xml:space="preserve"> расрасходов,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 правовой акт, предусматривающий предоставление из бюджета Атюрьевского муниципального района Республики Мордовия денежных средств физическим и юридическим лицам из резервного фонда Главы Атюрьевского муниципального района Республики Мордовия на обеспечение непредвиденных расходов;</w:t>
            </w:r>
          </w:p>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 xml:space="preserve">обеспечение непредвиденных расходов ,в том числе на проведение </w:t>
            </w:r>
          </w:p>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обеспечениередвиденнырасходов,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 правовой акт, предусматривающий предоставление из бюджета Атюрьевского муниципального района Республики Мордовия денежных средств физическим и юридическим лицам из резервного фонда Главы Атюрьевского муниципального района Республики Мордовия на обеспечение непредвиденных расходов;</w:t>
            </w:r>
          </w:p>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 договор (соглашение) о предоставлении субсидии физическому лицу производителю товаров, работ, услуг, не являющемуся индивидуальным предпринимателем;</w:t>
            </w:r>
          </w:p>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 договор на оказание услуг, выполнение работ, заключенный получателем средств бюджета Атюрьевского муниципального района Республики Мордовия с физическим лицом, не являющимся индивидуальным предпринимателем;</w:t>
            </w:r>
          </w:p>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 xml:space="preserve">- иной документ, в соответствии с которым возникает бюджетное обязательство получателя средств бюджета Атюрьевского муниципального района Республики Мордовия </w:t>
            </w:r>
          </w:p>
        </w:tc>
        <w:tc>
          <w:tcPr>
            <w:tcW w:w="5103"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Авансовый отчет (ф. 0504505)</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rPr>
                <w:sz w:val="28"/>
                <w:szCs w:val="28"/>
              </w:rPr>
            </w:pPr>
          </w:p>
        </w:tc>
        <w:tc>
          <w:tcPr>
            <w:tcW w:w="3969" w:type="dxa"/>
            <w:vMerge/>
            <w:tcBorders>
              <w:top w:val="single" w:sz="4" w:space="0" w:color="auto"/>
              <w:left w:val="single" w:sz="4" w:space="0" w:color="auto"/>
              <w:bottom w:val="single" w:sz="4" w:space="0" w:color="auto"/>
              <w:right w:val="single" w:sz="4" w:space="0" w:color="auto"/>
            </w:tcBorders>
            <w:vAlign w:val="center"/>
          </w:tcPr>
          <w:p w:rsidR="00A0673F" w:rsidRDefault="00A0673F">
            <w:pPr>
              <w:rPr>
                <w:sz w:val="28"/>
                <w:szCs w:val="28"/>
              </w:rPr>
            </w:pPr>
          </w:p>
        </w:tc>
        <w:tc>
          <w:tcPr>
            <w:tcW w:w="5103"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Акт выполненных работ</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rPr>
                <w:sz w:val="28"/>
                <w:szCs w:val="28"/>
              </w:rPr>
            </w:pPr>
          </w:p>
        </w:tc>
        <w:tc>
          <w:tcPr>
            <w:tcW w:w="3969" w:type="dxa"/>
            <w:vMerge/>
            <w:tcBorders>
              <w:top w:val="single" w:sz="4" w:space="0" w:color="auto"/>
              <w:left w:val="single" w:sz="4" w:space="0" w:color="auto"/>
              <w:bottom w:val="single" w:sz="4" w:space="0" w:color="auto"/>
              <w:right w:val="single" w:sz="4" w:space="0" w:color="auto"/>
            </w:tcBorders>
            <w:vAlign w:val="center"/>
          </w:tcPr>
          <w:p w:rsidR="00A0673F" w:rsidRDefault="00A0673F">
            <w:pPr>
              <w:rPr>
                <w:sz w:val="28"/>
                <w:szCs w:val="28"/>
              </w:rPr>
            </w:pPr>
          </w:p>
        </w:tc>
        <w:tc>
          <w:tcPr>
            <w:tcW w:w="5103"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Акт приема-передачи</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rPr>
                <w:sz w:val="28"/>
                <w:szCs w:val="28"/>
              </w:rPr>
            </w:pPr>
          </w:p>
        </w:tc>
        <w:tc>
          <w:tcPr>
            <w:tcW w:w="3969" w:type="dxa"/>
            <w:vMerge/>
            <w:tcBorders>
              <w:top w:val="single" w:sz="4" w:space="0" w:color="auto"/>
              <w:left w:val="single" w:sz="4" w:space="0" w:color="auto"/>
              <w:bottom w:val="single" w:sz="4" w:space="0" w:color="auto"/>
              <w:right w:val="single" w:sz="4" w:space="0" w:color="auto"/>
            </w:tcBorders>
            <w:vAlign w:val="center"/>
          </w:tcPr>
          <w:p w:rsidR="00A0673F" w:rsidRDefault="00A0673F">
            <w:pPr>
              <w:rPr>
                <w:sz w:val="28"/>
                <w:szCs w:val="28"/>
              </w:rPr>
            </w:pPr>
          </w:p>
        </w:tc>
        <w:tc>
          <w:tcPr>
            <w:tcW w:w="5103"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Акт об оказании услуг</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rPr>
                <w:sz w:val="28"/>
                <w:szCs w:val="28"/>
              </w:rPr>
            </w:pPr>
          </w:p>
        </w:tc>
        <w:tc>
          <w:tcPr>
            <w:tcW w:w="3969" w:type="dxa"/>
            <w:vMerge/>
            <w:tcBorders>
              <w:top w:val="single" w:sz="4" w:space="0" w:color="auto"/>
              <w:left w:val="single" w:sz="4" w:space="0" w:color="auto"/>
              <w:bottom w:val="single" w:sz="4" w:space="0" w:color="auto"/>
              <w:right w:val="single" w:sz="4" w:space="0" w:color="auto"/>
            </w:tcBorders>
            <w:vAlign w:val="center"/>
          </w:tcPr>
          <w:p w:rsidR="00A0673F" w:rsidRDefault="00A0673F">
            <w:pPr>
              <w:rPr>
                <w:sz w:val="28"/>
                <w:szCs w:val="28"/>
              </w:rPr>
            </w:pPr>
          </w:p>
        </w:tc>
        <w:tc>
          <w:tcPr>
            <w:tcW w:w="5103"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Муниципальный контракт (в случае осуществления авансовых платежей в соответствии с условиями муниципального контракта)</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rPr>
                <w:sz w:val="28"/>
                <w:szCs w:val="28"/>
              </w:rPr>
            </w:pPr>
          </w:p>
        </w:tc>
        <w:tc>
          <w:tcPr>
            <w:tcW w:w="3969" w:type="dxa"/>
            <w:vMerge/>
            <w:tcBorders>
              <w:top w:val="single" w:sz="4" w:space="0" w:color="auto"/>
              <w:left w:val="single" w:sz="4" w:space="0" w:color="auto"/>
              <w:bottom w:val="single" w:sz="4" w:space="0" w:color="auto"/>
              <w:right w:val="single" w:sz="4" w:space="0" w:color="auto"/>
            </w:tcBorders>
            <w:vAlign w:val="center"/>
          </w:tcPr>
          <w:p w:rsidR="00A0673F" w:rsidRDefault="00A0673F">
            <w:pPr>
              <w:rPr>
                <w:sz w:val="28"/>
                <w:szCs w:val="28"/>
              </w:rPr>
            </w:pPr>
          </w:p>
        </w:tc>
        <w:tc>
          <w:tcPr>
            <w:tcW w:w="5103"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Справка-расчет или иной документ, являющийся основанием для оплаты неустойки</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rPr>
                <w:sz w:val="28"/>
                <w:szCs w:val="28"/>
              </w:rPr>
            </w:pPr>
          </w:p>
        </w:tc>
        <w:tc>
          <w:tcPr>
            <w:tcW w:w="3969" w:type="dxa"/>
            <w:vMerge/>
            <w:tcBorders>
              <w:top w:val="single" w:sz="4" w:space="0" w:color="auto"/>
              <w:left w:val="single" w:sz="4" w:space="0" w:color="auto"/>
              <w:bottom w:val="single" w:sz="4" w:space="0" w:color="auto"/>
              <w:right w:val="single" w:sz="4" w:space="0" w:color="auto"/>
            </w:tcBorders>
            <w:vAlign w:val="center"/>
          </w:tcPr>
          <w:p w:rsidR="00A0673F" w:rsidRDefault="00A0673F">
            <w:pPr>
              <w:rPr>
                <w:sz w:val="28"/>
                <w:szCs w:val="28"/>
              </w:rPr>
            </w:pPr>
          </w:p>
        </w:tc>
        <w:tc>
          <w:tcPr>
            <w:tcW w:w="5103"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Заявка о перечислении межбюджетного трансферта из бюджета Курташкинского сельского посления Атюрьевского муниципального района Республики Мордовия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rPr>
                <w:sz w:val="28"/>
                <w:szCs w:val="28"/>
              </w:rPr>
            </w:pPr>
          </w:p>
        </w:tc>
        <w:tc>
          <w:tcPr>
            <w:tcW w:w="3969" w:type="dxa"/>
            <w:vMerge/>
            <w:tcBorders>
              <w:top w:val="single" w:sz="4" w:space="0" w:color="auto"/>
              <w:left w:val="single" w:sz="4" w:space="0" w:color="auto"/>
              <w:bottom w:val="single" w:sz="4" w:space="0" w:color="auto"/>
              <w:right w:val="single" w:sz="4" w:space="0" w:color="auto"/>
            </w:tcBorders>
            <w:vAlign w:val="center"/>
          </w:tcPr>
          <w:p w:rsidR="00A0673F" w:rsidRDefault="00A0673F">
            <w:pPr>
              <w:rPr>
                <w:sz w:val="28"/>
                <w:szCs w:val="28"/>
              </w:rPr>
            </w:pPr>
          </w:p>
        </w:tc>
        <w:tc>
          <w:tcPr>
            <w:tcW w:w="5103"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rPr>
                <w:sz w:val="28"/>
                <w:szCs w:val="28"/>
              </w:rPr>
            </w:pPr>
          </w:p>
        </w:tc>
        <w:tc>
          <w:tcPr>
            <w:tcW w:w="3969" w:type="dxa"/>
            <w:vMerge/>
            <w:tcBorders>
              <w:top w:val="single" w:sz="4" w:space="0" w:color="auto"/>
              <w:left w:val="single" w:sz="4" w:space="0" w:color="auto"/>
              <w:bottom w:val="single" w:sz="4" w:space="0" w:color="auto"/>
              <w:right w:val="single" w:sz="4" w:space="0" w:color="auto"/>
            </w:tcBorders>
            <w:vAlign w:val="center"/>
          </w:tcPr>
          <w:p w:rsidR="00A0673F" w:rsidRDefault="00A0673F">
            <w:pPr>
              <w:rPr>
                <w:sz w:val="28"/>
                <w:szCs w:val="28"/>
              </w:rPr>
            </w:pPr>
          </w:p>
        </w:tc>
        <w:tc>
          <w:tcPr>
            <w:tcW w:w="5103"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Заявление на выдачу денежных средств под отчет</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rPr>
                <w:sz w:val="28"/>
                <w:szCs w:val="28"/>
              </w:rPr>
            </w:pPr>
          </w:p>
        </w:tc>
        <w:tc>
          <w:tcPr>
            <w:tcW w:w="3969" w:type="dxa"/>
            <w:vMerge/>
            <w:tcBorders>
              <w:top w:val="single" w:sz="4" w:space="0" w:color="auto"/>
              <w:left w:val="single" w:sz="4" w:space="0" w:color="auto"/>
              <w:bottom w:val="single" w:sz="4" w:space="0" w:color="auto"/>
              <w:right w:val="single" w:sz="4" w:space="0" w:color="auto"/>
            </w:tcBorders>
            <w:vAlign w:val="center"/>
          </w:tcPr>
          <w:p w:rsidR="00A0673F" w:rsidRDefault="00A0673F">
            <w:pPr>
              <w:rPr>
                <w:sz w:val="28"/>
                <w:szCs w:val="28"/>
              </w:rPr>
            </w:pPr>
          </w:p>
        </w:tc>
        <w:tc>
          <w:tcPr>
            <w:tcW w:w="5103"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Заявление физического лица</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rPr>
                <w:sz w:val="28"/>
                <w:szCs w:val="28"/>
              </w:rPr>
            </w:pPr>
          </w:p>
        </w:tc>
        <w:tc>
          <w:tcPr>
            <w:tcW w:w="3969" w:type="dxa"/>
            <w:vMerge/>
            <w:tcBorders>
              <w:top w:val="single" w:sz="4" w:space="0" w:color="auto"/>
              <w:left w:val="single" w:sz="4" w:space="0" w:color="auto"/>
              <w:bottom w:val="single" w:sz="4" w:space="0" w:color="auto"/>
              <w:right w:val="single" w:sz="4" w:space="0" w:color="auto"/>
            </w:tcBorders>
            <w:vAlign w:val="center"/>
          </w:tcPr>
          <w:p w:rsidR="00A0673F" w:rsidRDefault="00A0673F">
            <w:pPr>
              <w:rPr>
                <w:sz w:val="28"/>
                <w:szCs w:val="28"/>
              </w:rPr>
            </w:pPr>
          </w:p>
        </w:tc>
        <w:tc>
          <w:tcPr>
            <w:tcW w:w="5103"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Квитанция</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rPr>
                <w:sz w:val="28"/>
                <w:szCs w:val="28"/>
              </w:rPr>
            </w:pPr>
          </w:p>
        </w:tc>
        <w:tc>
          <w:tcPr>
            <w:tcW w:w="3969" w:type="dxa"/>
            <w:vMerge/>
            <w:tcBorders>
              <w:top w:val="single" w:sz="4" w:space="0" w:color="auto"/>
              <w:left w:val="single" w:sz="4" w:space="0" w:color="auto"/>
              <w:bottom w:val="single" w:sz="4" w:space="0" w:color="auto"/>
              <w:right w:val="single" w:sz="4" w:space="0" w:color="auto"/>
            </w:tcBorders>
            <w:vAlign w:val="center"/>
          </w:tcPr>
          <w:p w:rsidR="00A0673F" w:rsidRDefault="00A0673F">
            <w:pPr>
              <w:rPr>
                <w:sz w:val="28"/>
                <w:szCs w:val="28"/>
              </w:rPr>
            </w:pPr>
          </w:p>
        </w:tc>
        <w:tc>
          <w:tcPr>
            <w:tcW w:w="5103"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Приказ о направлении в командировку, с прилагаемым расчетом командировочных сумм</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rPr>
                <w:sz w:val="28"/>
                <w:szCs w:val="28"/>
              </w:rPr>
            </w:pPr>
          </w:p>
        </w:tc>
        <w:tc>
          <w:tcPr>
            <w:tcW w:w="3969" w:type="dxa"/>
            <w:vMerge/>
            <w:tcBorders>
              <w:top w:val="single" w:sz="4" w:space="0" w:color="auto"/>
              <w:left w:val="single" w:sz="4" w:space="0" w:color="auto"/>
              <w:bottom w:val="single" w:sz="4" w:space="0" w:color="auto"/>
              <w:right w:val="single" w:sz="4" w:space="0" w:color="auto"/>
            </w:tcBorders>
            <w:vAlign w:val="center"/>
          </w:tcPr>
          <w:p w:rsidR="00A0673F" w:rsidRDefault="00A0673F">
            <w:pPr>
              <w:rPr>
                <w:sz w:val="28"/>
                <w:szCs w:val="28"/>
              </w:rPr>
            </w:pPr>
          </w:p>
        </w:tc>
        <w:tc>
          <w:tcPr>
            <w:tcW w:w="5103"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Служебная записка</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rPr>
                <w:sz w:val="28"/>
                <w:szCs w:val="28"/>
              </w:rPr>
            </w:pPr>
          </w:p>
        </w:tc>
        <w:tc>
          <w:tcPr>
            <w:tcW w:w="3969" w:type="dxa"/>
            <w:vMerge/>
            <w:tcBorders>
              <w:top w:val="single" w:sz="4" w:space="0" w:color="auto"/>
              <w:left w:val="single" w:sz="4" w:space="0" w:color="auto"/>
              <w:bottom w:val="single" w:sz="4" w:space="0" w:color="auto"/>
              <w:right w:val="single" w:sz="4" w:space="0" w:color="auto"/>
            </w:tcBorders>
            <w:vAlign w:val="center"/>
          </w:tcPr>
          <w:p w:rsidR="00A0673F" w:rsidRDefault="00A0673F">
            <w:pPr>
              <w:rPr>
                <w:sz w:val="28"/>
                <w:szCs w:val="28"/>
              </w:rPr>
            </w:pPr>
          </w:p>
        </w:tc>
        <w:tc>
          <w:tcPr>
            <w:tcW w:w="5103"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Счет</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rPr>
                <w:sz w:val="28"/>
                <w:szCs w:val="28"/>
              </w:rPr>
            </w:pPr>
          </w:p>
        </w:tc>
        <w:tc>
          <w:tcPr>
            <w:tcW w:w="3969" w:type="dxa"/>
            <w:vMerge/>
            <w:tcBorders>
              <w:top w:val="single" w:sz="4" w:space="0" w:color="auto"/>
              <w:left w:val="single" w:sz="4" w:space="0" w:color="auto"/>
              <w:bottom w:val="single" w:sz="4" w:space="0" w:color="auto"/>
              <w:right w:val="single" w:sz="4" w:space="0" w:color="auto"/>
            </w:tcBorders>
            <w:vAlign w:val="center"/>
          </w:tcPr>
          <w:p w:rsidR="00A0673F" w:rsidRDefault="00A0673F">
            <w:pPr>
              <w:rPr>
                <w:sz w:val="28"/>
                <w:szCs w:val="28"/>
              </w:rPr>
            </w:pPr>
          </w:p>
        </w:tc>
        <w:tc>
          <w:tcPr>
            <w:tcW w:w="5103"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Счет-фактура</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rPr>
                <w:sz w:val="28"/>
                <w:szCs w:val="28"/>
              </w:rPr>
            </w:pPr>
          </w:p>
        </w:tc>
        <w:tc>
          <w:tcPr>
            <w:tcW w:w="3969" w:type="dxa"/>
            <w:vMerge/>
            <w:tcBorders>
              <w:top w:val="single" w:sz="4" w:space="0" w:color="auto"/>
              <w:left w:val="single" w:sz="4" w:space="0" w:color="auto"/>
              <w:bottom w:val="single" w:sz="4" w:space="0" w:color="auto"/>
              <w:right w:val="single" w:sz="4" w:space="0" w:color="auto"/>
            </w:tcBorders>
            <w:vAlign w:val="center"/>
          </w:tcPr>
          <w:p w:rsidR="00A0673F" w:rsidRDefault="00A0673F">
            <w:pPr>
              <w:rPr>
                <w:sz w:val="28"/>
                <w:szCs w:val="28"/>
              </w:rPr>
            </w:pPr>
          </w:p>
        </w:tc>
        <w:tc>
          <w:tcPr>
            <w:tcW w:w="5103"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Товарная накладная (унифицированная форма N ТОРГ-12) (ф. 0330212)</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rPr>
                <w:sz w:val="28"/>
                <w:szCs w:val="28"/>
              </w:rPr>
            </w:pPr>
          </w:p>
        </w:tc>
        <w:tc>
          <w:tcPr>
            <w:tcW w:w="3969" w:type="dxa"/>
            <w:vMerge/>
            <w:tcBorders>
              <w:top w:val="single" w:sz="4" w:space="0" w:color="auto"/>
              <w:left w:val="single" w:sz="4" w:space="0" w:color="auto"/>
              <w:bottom w:val="single" w:sz="4" w:space="0" w:color="auto"/>
              <w:right w:val="single" w:sz="4" w:space="0" w:color="auto"/>
            </w:tcBorders>
            <w:vAlign w:val="center"/>
          </w:tcPr>
          <w:p w:rsidR="00A0673F" w:rsidRDefault="00A0673F">
            <w:pPr>
              <w:rPr>
                <w:sz w:val="28"/>
                <w:szCs w:val="28"/>
              </w:rPr>
            </w:pPr>
          </w:p>
        </w:tc>
        <w:tc>
          <w:tcPr>
            <w:tcW w:w="5103"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Универсальный передаточный документ</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rPr>
                <w:sz w:val="28"/>
                <w:szCs w:val="28"/>
              </w:rPr>
            </w:pPr>
          </w:p>
        </w:tc>
        <w:tc>
          <w:tcPr>
            <w:tcW w:w="3969" w:type="dxa"/>
            <w:vMerge/>
            <w:tcBorders>
              <w:top w:val="single" w:sz="4" w:space="0" w:color="auto"/>
              <w:left w:val="single" w:sz="4" w:space="0" w:color="auto"/>
              <w:bottom w:val="single" w:sz="4" w:space="0" w:color="auto"/>
              <w:right w:val="single" w:sz="4" w:space="0" w:color="auto"/>
            </w:tcBorders>
            <w:vAlign w:val="center"/>
          </w:tcPr>
          <w:p w:rsidR="00A0673F" w:rsidRDefault="00A0673F">
            <w:pPr>
              <w:rPr>
                <w:sz w:val="28"/>
                <w:szCs w:val="28"/>
              </w:rPr>
            </w:pPr>
          </w:p>
        </w:tc>
        <w:tc>
          <w:tcPr>
            <w:tcW w:w="5103"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Чек</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rPr>
                <w:sz w:val="28"/>
                <w:szCs w:val="28"/>
              </w:rPr>
            </w:pPr>
          </w:p>
        </w:tc>
        <w:tc>
          <w:tcPr>
            <w:tcW w:w="3969" w:type="dxa"/>
            <w:vMerge/>
            <w:tcBorders>
              <w:top w:val="single" w:sz="4" w:space="0" w:color="auto"/>
              <w:left w:val="single" w:sz="4" w:space="0" w:color="auto"/>
              <w:bottom w:val="single" w:sz="4" w:space="0" w:color="auto"/>
              <w:right w:val="single" w:sz="4" w:space="0" w:color="auto"/>
            </w:tcBorders>
            <w:vAlign w:val="center"/>
          </w:tcPr>
          <w:p w:rsidR="00A0673F" w:rsidRDefault="00A0673F">
            <w:pPr>
              <w:rPr>
                <w:sz w:val="28"/>
                <w:szCs w:val="28"/>
              </w:rPr>
            </w:pPr>
          </w:p>
        </w:tc>
        <w:tc>
          <w:tcPr>
            <w:tcW w:w="5103"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Договор на оказание услуг, выполнение работ, заключенный получателем средств бюджета Курташкинского сельского поселения Атюрьевского муниципального района Республики Мордовия с физическим лицом, не являющимся индивидуальным предпринимателем (в случае осуществления авансовых платежей в соответствии с условиями договора)</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rPr>
                <w:sz w:val="28"/>
                <w:szCs w:val="28"/>
              </w:rPr>
            </w:pPr>
          </w:p>
        </w:tc>
        <w:tc>
          <w:tcPr>
            <w:tcW w:w="3969" w:type="dxa"/>
            <w:vMerge/>
            <w:tcBorders>
              <w:top w:val="single" w:sz="4" w:space="0" w:color="auto"/>
              <w:left w:val="single" w:sz="4" w:space="0" w:color="auto"/>
              <w:bottom w:val="single" w:sz="4" w:space="0" w:color="auto"/>
              <w:right w:val="single" w:sz="4" w:space="0" w:color="auto"/>
            </w:tcBorders>
            <w:vAlign w:val="center"/>
          </w:tcPr>
          <w:p w:rsidR="00A0673F" w:rsidRDefault="00A0673F">
            <w:pPr>
              <w:rPr>
                <w:sz w:val="28"/>
                <w:szCs w:val="28"/>
              </w:rPr>
            </w:pPr>
          </w:p>
        </w:tc>
        <w:tc>
          <w:tcPr>
            <w:tcW w:w="5103"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Отчет о выполнении условий, установленных при предоставлении субсидии физическому лицу производителю товаров, работ, услуг, в соответствии с порядком (правилами) предоставления субсидии;</w:t>
            </w:r>
          </w:p>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реестр платежей к оплате, сформированный в соответствии с порядком (правилами) предоставления субсидии;</w:t>
            </w:r>
          </w:p>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A0673F">
        <w:trPr>
          <w:cantSplit/>
          <w:trHeight w:val="3058"/>
        </w:trPr>
        <w:tc>
          <w:tcPr>
            <w:tcW w:w="567" w:type="dxa"/>
            <w:vMerge/>
            <w:tcBorders>
              <w:top w:val="single" w:sz="4" w:space="0" w:color="auto"/>
              <w:bottom w:val="single" w:sz="4" w:space="0" w:color="auto"/>
              <w:right w:val="single" w:sz="4" w:space="0" w:color="auto"/>
            </w:tcBorders>
            <w:vAlign w:val="center"/>
          </w:tcPr>
          <w:p w:rsidR="00A0673F" w:rsidRDefault="00A0673F">
            <w:pPr>
              <w:rPr>
                <w:sz w:val="28"/>
                <w:szCs w:val="28"/>
              </w:rPr>
            </w:pPr>
          </w:p>
        </w:tc>
        <w:tc>
          <w:tcPr>
            <w:tcW w:w="3969" w:type="dxa"/>
            <w:vMerge/>
            <w:tcBorders>
              <w:top w:val="single" w:sz="4" w:space="0" w:color="auto"/>
              <w:left w:val="single" w:sz="4" w:space="0" w:color="auto"/>
              <w:bottom w:val="single" w:sz="4" w:space="0" w:color="auto"/>
              <w:right w:val="single" w:sz="4" w:space="0" w:color="auto"/>
            </w:tcBorders>
            <w:vAlign w:val="center"/>
          </w:tcPr>
          <w:p w:rsidR="00A0673F" w:rsidRDefault="00A0673F">
            <w:pPr>
              <w:rPr>
                <w:sz w:val="28"/>
                <w:szCs w:val="28"/>
              </w:rPr>
            </w:pPr>
          </w:p>
        </w:tc>
        <w:tc>
          <w:tcPr>
            <w:tcW w:w="5103"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Курташкинского сельского поселения Атюрьевского муниципального района Республики Мордовия </w:t>
            </w:r>
          </w:p>
        </w:tc>
      </w:tr>
    </w:tbl>
    <w:p w:rsidR="00A0673F" w:rsidRDefault="00A0673F">
      <w:pPr>
        <w:pStyle w:val="ConsPlusNormal"/>
        <w:ind w:firstLine="539"/>
        <w:jc w:val="both"/>
        <w:rPr>
          <w:rFonts w:ascii="Times New Roman" w:hAnsi="Times New Roman" w:cs="Times New Roman"/>
          <w:sz w:val="28"/>
          <w:szCs w:val="28"/>
        </w:rPr>
      </w:pPr>
    </w:p>
    <w:p w:rsidR="00A0673F" w:rsidRDefault="00A0673F">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2. Настоящее постановление вступает в силу со дня его подписания  и распространяют действие на правоотношения, возникшие с 1 апреля 2019 года.</w:t>
      </w:r>
    </w:p>
    <w:p w:rsidR="00A0673F" w:rsidRDefault="00A0673F">
      <w:pPr>
        <w:jc w:val="both"/>
        <w:rPr>
          <w:rFonts w:ascii="Times New Roman" w:hAnsi="Times New Roman" w:cs="Times New Roman"/>
          <w:sz w:val="28"/>
          <w:szCs w:val="28"/>
        </w:rPr>
      </w:pPr>
    </w:p>
    <w:p w:rsidR="00A0673F" w:rsidRDefault="00A0673F">
      <w:pPr>
        <w:rPr>
          <w:rFonts w:ascii="Times New Roman" w:hAnsi="Times New Roman" w:cs="Times New Roman"/>
          <w:sz w:val="28"/>
          <w:szCs w:val="28"/>
        </w:rPr>
      </w:pPr>
    </w:p>
    <w:p w:rsidR="00A0673F" w:rsidRDefault="00A0673F">
      <w:pPr>
        <w:outlineLvl w:val="0"/>
        <w:rPr>
          <w:rFonts w:ascii="Times New Roman" w:hAnsi="Times New Roman" w:cs="Times New Roman"/>
          <w:sz w:val="28"/>
          <w:szCs w:val="28"/>
        </w:rPr>
      </w:pPr>
      <w:r>
        <w:rPr>
          <w:rFonts w:ascii="Times New Roman" w:hAnsi="Times New Roman" w:cs="Times New Roman"/>
          <w:sz w:val="28"/>
          <w:szCs w:val="28"/>
        </w:rPr>
        <w:t>Глава Курташкинского                                                                                                  сельского поселения                                                                  С.В.Базаркин</w:t>
      </w:r>
    </w:p>
    <w:p w:rsidR="00A0673F" w:rsidRDefault="00A0673F">
      <w:pPr>
        <w:outlineLvl w:val="0"/>
        <w:rPr>
          <w:rFonts w:ascii="Times New Roman" w:hAnsi="Times New Roman" w:cs="Times New Roman"/>
          <w:sz w:val="28"/>
          <w:szCs w:val="28"/>
        </w:rPr>
      </w:pPr>
    </w:p>
    <w:p w:rsidR="00A0673F" w:rsidRDefault="00A0673F">
      <w:pPr>
        <w:outlineLvl w:val="0"/>
        <w:rPr>
          <w:rFonts w:ascii="Times New Roman" w:hAnsi="Times New Roman" w:cs="Times New Roman"/>
          <w:sz w:val="28"/>
          <w:szCs w:val="28"/>
        </w:rPr>
      </w:pPr>
    </w:p>
    <w:p w:rsidR="00A0673F" w:rsidRDefault="00A0673F">
      <w:pPr>
        <w:outlineLvl w:val="0"/>
        <w:rPr>
          <w:rFonts w:ascii="Times New Roman" w:hAnsi="Times New Roman" w:cs="Times New Roman"/>
          <w:sz w:val="28"/>
          <w:szCs w:val="28"/>
        </w:rPr>
      </w:pPr>
    </w:p>
    <w:p w:rsidR="00A0673F" w:rsidRDefault="00A0673F">
      <w:pPr>
        <w:outlineLvl w:val="0"/>
        <w:rPr>
          <w:rFonts w:ascii="Times New Roman" w:hAnsi="Times New Roman" w:cs="Times New Roman"/>
          <w:sz w:val="28"/>
          <w:szCs w:val="28"/>
        </w:rPr>
      </w:pPr>
    </w:p>
    <w:p w:rsidR="00A0673F" w:rsidRDefault="00A0673F">
      <w:pPr>
        <w:outlineLvl w:val="0"/>
        <w:rPr>
          <w:rFonts w:ascii="Times New Roman" w:hAnsi="Times New Roman" w:cs="Times New Roman"/>
          <w:sz w:val="28"/>
          <w:szCs w:val="28"/>
        </w:rPr>
      </w:pPr>
    </w:p>
    <w:p w:rsidR="00A0673F" w:rsidRDefault="00A0673F">
      <w:pPr>
        <w:outlineLvl w:val="0"/>
        <w:rPr>
          <w:rFonts w:ascii="Times New Roman" w:hAnsi="Times New Roman" w:cs="Times New Roman"/>
          <w:sz w:val="28"/>
          <w:szCs w:val="28"/>
        </w:rPr>
      </w:pPr>
    </w:p>
    <w:p w:rsidR="00A0673F" w:rsidRDefault="00A0673F">
      <w:pPr>
        <w:outlineLvl w:val="0"/>
        <w:rPr>
          <w:rFonts w:ascii="Times New Roman" w:hAnsi="Times New Roman" w:cs="Times New Roman"/>
          <w:sz w:val="28"/>
          <w:szCs w:val="28"/>
        </w:rPr>
      </w:pPr>
    </w:p>
    <w:p w:rsidR="00A0673F" w:rsidRDefault="00A0673F">
      <w:pPr>
        <w:outlineLvl w:val="0"/>
        <w:rPr>
          <w:rFonts w:ascii="Times New Roman" w:hAnsi="Times New Roman" w:cs="Times New Roman"/>
          <w:sz w:val="28"/>
          <w:szCs w:val="28"/>
        </w:rPr>
      </w:pPr>
    </w:p>
    <w:p w:rsidR="00A0673F" w:rsidRDefault="00A0673F">
      <w:pPr>
        <w:pStyle w:val="ConsPlusNormal"/>
        <w:ind w:right="-1"/>
        <w:jc w:val="center"/>
        <w:outlineLvl w:val="0"/>
        <w:rPr>
          <w:rFonts w:ascii="Times New Roman" w:hAnsi="Times New Roman" w:cs="Times New Roman"/>
          <w:sz w:val="28"/>
          <w:szCs w:val="28"/>
        </w:rPr>
      </w:pPr>
    </w:p>
    <w:p w:rsidR="00A0673F" w:rsidRDefault="00A0673F">
      <w:pPr>
        <w:pStyle w:val="ConsPlusNormal"/>
        <w:ind w:right="-1"/>
        <w:jc w:val="center"/>
        <w:outlineLvl w:val="0"/>
        <w:rPr>
          <w:rFonts w:ascii="Times New Roman" w:hAnsi="Times New Roman" w:cs="Times New Roman"/>
          <w:sz w:val="28"/>
          <w:szCs w:val="28"/>
        </w:rPr>
      </w:pPr>
    </w:p>
    <w:p w:rsidR="00A0673F" w:rsidRDefault="00A0673F">
      <w:pPr>
        <w:pStyle w:val="ConsPlusNormal"/>
        <w:ind w:right="-1"/>
        <w:jc w:val="center"/>
        <w:outlineLvl w:val="0"/>
        <w:rPr>
          <w:rFonts w:ascii="Times New Roman" w:hAnsi="Times New Roman" w:cs="Times New Roman"/>
          <w:sz w:val="28"/>
          <w:szCs w:val="28"/>
        </w:rPr>
      </w:pPr>
    </w:p>
    <w:p w:rsidR="00A0673F" w:rsidRDefault="00A0673F">
      <w:pPr>
        <w:pStyle w:val="ConsPlusNormal"/>
        <w:ind w:right="-1"/>
        <w:jc w:val="center"/>
        <w:outlineLvl w:val="0"/>
        <w:rPr>
          <w:rFonts w:ascii="Times New Roman" w:hAnsi="Times New Roman" w:cs="Times New Roman"/>
          <w:sz w:val="28"/>
          <w:szCs w:val="28"/>
        </w:rPr>
      </w:pPr>
    </w:p>
    <w:p w:rsidR="00A0673F" w:rsidRDefault="00A0673F">
      <w:pPr>
        <w:pStyle w:val="ConsPlusNormal"/>
        <w:ind w:right="-1"/>
        <w:jc w:val="center"/>
        <w:outlineLvl w:val="0"/>
        <w:rPr>
          <w:rFonts w:ascii="Times New Roman" w:hAnsi="Times New Roman" w:cs="Times New Roman"/>
          <w:sz w:val="28"/>
          <w:szCs w:val="28"/>
        </w:rPr>
      </w:pPr>
    </w:p>
    <w:p w:rsidR="00A0673F" w:rsidRDefault="00A0673F">
      <w:pPr>
        <w:pStyle w:val="ConsPlusNormal"/>
        <w:ind w:right="-1"/>
        <w:jc w:val="center"/>
        <w:outlineLvl w:val="0"/>
        <w:rPr>
          <w:rFonts w:ascii="Times New Roman" w:hAnsi="Times New Roman" w:cs="Times New Roman"/>
          <w:sz w:val="28"/>
          <w:szCs w:val="28"/>
        </w:rPr>
      </w:pPr>
    </w:p>
    <w:p w:rsidR="00A0673F" w:rsidRDefault="00A0673F">
      <w:pPr>
        <w:pStyle w:val="ConsPlusNormal"/>
        <w:ind w:right="-1"/>
        <w:jc w:val="center"/>
        <w:outlineLvl w:val="0"/>
        <w:rPr>
          <w:rFonts w:ascii="Times New Roman" w:hAnsi="Times New Roman" w:cs="Times New Roman"/>
          <w:sz w:val="28"/>
          <w:szCs w:val="28"/>
        </w:rPr>
      </w:pPr>
    </w:p>
    <w:p w:rsidR="00A0673F" w:rsidRDefault="00A0673F">
      <w:pPr>
        <w:pStyle w:val="ConsPlusNormal"/>
        <w:ind w:right="-1"/>
        <w:jc w:val="center"/>
        <w:outlineLvl w:val="0"/>
        <w:rPr>
          <w:rFonts w:ascii="Times New Roman" w:hAnsi="Times New Roman" w:cs="Times New Roman"/>
          <w:sz w:val="28"/>
          <w:szCs w:val="28"/>
        </w:rPr>
      </w:pPr>
    </w:p>
    <w:p w:rsidR="00A0673F" w:rsidRDefault="00A0673F">
      <w:pPr>
        <w:pStyle w:val="ConsPlusNormal"/>
        <w:ind w:right="-1"/>
        <w:jc w:val="center"/>
        <w:outlineLvl w:val="0"/>
        <w:rPr>
          <w:rFonts w:ascii="Times New Roman" w:hAnsi="Times New Roman" w:cs="Times New Roman"/>
          <w:sz w:val="28"/>
          <w:szCs w:val="28"/>
        </w:rPr>
      </w:pPr>
    </w:p>
    <w:p w:rsidR="00A0673F" w:rsidRDefault="00A0673F">
      <w:pPr>
        <w:pStyle w:val="ConsPlusNormal"/>
        <w:ind w:right="-1"/>
        <w:jc w:val="center"/>
        <w:outlineLvl w:val="0"/>
        <w:rPr>
          <w:rFonts w:ascii="Times New Roman" w:hAnsi="Times New Roman" w:cs="Times New Roman"/>
          <w:sz w:val="28"/>
          <w:szCs w:val="28"/>
        </w:rPr>
      </w:pPr>
    </w:p>
    <w:p w:rsidR="00A0673F" w:rsidRDefault="00A0673F">
      <w:pPr>
        <w:pStyle w:val="ConsPlusNormal"/>
        <w:ind w:right="-1"/>
        <w:jc w:val="center"/>
        <w:outlineLvl w:val="0"/>
        <w:rPr>
          <w:rFonts w:ascii="Times New Roman" w:hAnsi="Times New Roman" w:cs="Times New Roman"/>
          <w:sz w:val="28"/>
          <w:szCs w:val="28"/>
        </w:rPr>
      </w:pPr>
    </w:p>
    <w:p w:rsidR="00A0673F" w:rsidRDefault="00A0673F">
      <w:pPr>
        <w:pStyle w:val="ConsPlusNormal"/>
        <w:ind w:right="-1"/>
        <w:jc w:val="center"/>
        <w:outlineLvl w:val="0"/>
        <w:rPr>
          <w:rFonts w:ascii="Times New Roman" w:hAnsi="Times New Roman" w:cs="Times New Roman"/>
          <w:sz w:val="28"/>
          <w:szCs w:val="28"/>
        </w:rPr>
      </w:pPr>
    </w:p>
    <w:p w:rsidR="00A0673F" w:rsidRDefault="00A0673F">
      <w:pPr>
        <w:pStyle w:val="ConsPlusNormal"/>
        <w:ind w:right="-1"/>
        <w:jc w:val="center"/>
        <w:outlineLvl w:val="0"/>
        <w:rPr>
          <w:rFonts w:ascii="Times New Roman" w:hAnsi="Times New Roman" w:cs="Times New Roman"/>
          <w:sz w:val="28"/>
          <w:szCs w:val="28"/>
        </w:rPr>
      </w:pPr>
    </w:p>
    <w:p w:rsidR="00A0673F" w:rsidRDefault="00A0673F">
      <w:pPr>
        <w:pStyle w:val="ConsPlusNormal"/>
        <w:ind w:right="-1"/>
        <w:jc w:val="center"/>
        <w:outlineLvl w:val="0"/>
        <w:rPr>
          <w:rFonts w:ascii="Times New Roman" w:hAnsi="Times New Roman" w:cs="Times New Roman"/>
          <w:sz w:val="28"/>
          <w:szCs w:val="28"/>
        </w:rPr>
      </w:pPr>
    </w:p>
    <w:p w:rsidR="00A0673F" w:rsidRDefault="00A0673F">
      <w:pPr>
        <w:pStyle w:val="ConsPlusNormal"/>
        <w:ind w:right="-1"/>
        <w:jc w:val="center"/>
        <w:outlineLvl w:val="0"/>
        <w:rPr>
          <w:rFonts w:ascii="Times New Roman" w:hAnsi="Times New Roman" w:cs="Times New Roman"/>
          <w:sz w:val="28"/>
          <w:szCs w:val="28"/>
        </w:rPr>
      </w:pPr>
    </w:p>
    <w:p w:rsidR="00A0673F" w:rsidRDefault="00A0673F">
      <w:pPr>
        <w:pStyle w:val="ConsPlusNormal"/>
        <w:ind w:right="-1"/>
        <w:jc w:val="center"/>
        <w:outlineLvl w:val="0"/>
        <w:rPr>
          <w:rFonts w:ascii="Times New Roman" w:hAnsi="Times New Roman" w:cs="Times New Roman"/>
          <w:sz w:val="28"/>
          <w:szCs w:val="28"/>
        </w:rPr>
      </w:pPr>
    </w:p>
    <w:p w:rsidR="00A0673F" w:rsidRDefault="00A0673F">
      <w:pPr>
        <w:pStyle w:val="ConsPlusNormal"/>
        <w:ind w:right="-1"/>
        <w:jc w:val="center"/>
        <w:outlineLvl w:val="0"/>
        <w:rPr>
          <w:rFonts w:ascii="Times New Roman" w:hAnsi="Times New Roman" w:cs="Times New Roman"/>
          <w:sz w:val="28"/>
          <w:szCs w:val="28"/>
        </w:rPr>
      </w:pPr>
    </w:p>
    <w:p w:rsidR="00A0673F" w:rsidRDefault="00A0673F">
      <w:pPr>
        <w:pStyle w:val="ConsPlusNormal"/>
        <w:ind w:right="-1"/>
        <w:jc w:val="center"/>
        <w:outlineLvl w:val="0"/>
        <w:rPr>
          <w:rFonts w:ascii="Times New Roman" w:hAnsi="Times New Roman" w:cs="Times New Roman"/>
          <w:sz w:val="28"/>
          <w:szCs w:val="28"/>
        </w:rPr>
      </w:pPr>
    </w:p>
    <w:p w:rsidR="00A0673F" w:rsidRDefault="00A0673F">
      <w:pPr>
        <w:pStyle w:val="ConsPlusNormal"/>
        <w:ind w:right="-1"/>
        <w:jc w:val="center"/>
        <w:outlineLvl w:val="0"/>
        <w:rPr>
          <w:rFonts w:ascii="Times New Roman" w:hAnsi="Times New Roman" w:cs="Times New Roman"/>
          <w:sz w:val="28"/>
          <w:szCs w:val="28"/>
        </w:rPr>
      </w:pPr>
    </w:p>
    <w:p w:rsidR="00A0673F" w:rsidRDefault="00A0673F">
      <w:pPr>
        <w:pStyle w:val="ConsPlusNormal"/>
        <w:ind w:right="-1"/>
        <w:jc w:val="center"/>
        <w:outlineLvl w:val="0"/>
        <w:rPr>
          <w:rFonts w:ascii="Times New Roman" w:hAnsi="Times New Roman" w:cs="Times New Roman"/>
          <w:sz w:val="28"/>
          <w:szCs w:val="28"/>
        </w:rPr>
      </w:pPr>
    </w:p>
    <w:p w:rsidR="00A0673F" w:rsidRDefault="00A0673F">
      <w:pPr>
        <w:pStyle w:val="ConsPlusNormal"/>
        <w:ind w:right="-1"/>
        <w:jc w:val="center"/>
        <w:outlineLvl w:val="0"/>
        <w:rPr>
          <w:rFonts w:ascii="Times New Roman" w:hAnsi="Times New Roman" w:cs="Times New Roman"/>
          <w:sz w:val="28"/>
          <w:szCs w:val="28"/>
        </w:rPr>
      </w:pPr>
    </w:p>
    <w:p w:rsidR="00A0673F" w:rsidRDefault="00A0673F">
      <w:pPr>
        <w:pStyle w:val="ConsPlusNormal"/>
        <w:ind w:right="-1"/>
        <w:jc w:val="right"/>
        <w:outlineLvl w:val="0"/>
        <w:rPr>
          <w:rFonts w:ascii="Times New Roman" w:hAnsi="Times New Roman" w:cs="Times New Roman"/>
          <w:sz w:val="24"/>
          <w:szCs w:val="24"/>
        </w:rPr>
      </w:pPr>
      <w:r>
        <w:rPr>
          <w:rFonts w:ascii="Times New Roman" w:hAnsi="Times New Roman" w:cs="Times New Roman"/>
          <w:sz w:val="24"/>
          <w:szCs w:val="24"/>
        </w:rPr>
        <w:t xml:space="preserve">        Утвержден</w:t>
      </w:r>
    </w:p>
    <w:p w:rsidR="00A0673F" w:rsidRDefault="00A0673F">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Постановлением администрации </w:t>
      </w:r>
    </w:p>
    <w:p w:rsidR="00A0673F" w:rsidRDefault="00A0673F">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Курташкинского сельского поселения </w:t>
      </w:r>
    </w:p>
    <w:p w:rsidR="00A0673F" w:rsidRDefault="00A0673F">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Атюрьевского муниципального района</w:t>
      </w:r>
    </w:p>
    <w:p w:rsidR="00A0673F" w:rsidRDefault="00A0673F">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Республики Мордовия</w:t>
      </w:r>
    </w:p>
    <w:p w:rsidR="00A0673F" w:rsidRDefault="00A0673F">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от «28» мая  2019 г. № 15</w:t>
      </w:r>
    </w:p>
    <w:p w:rsidR="00A0673F" w:rsidRDefault="00A0673F">
      <w:pPr>
        <w:pStyle w:val="ConsPlusNormal"/>
        <w:jc w:val="both"/>
        <w:rPr>
          <w:rFonts w:ascii="Times New Roman" w:hAnsi="Times New Roman" w:cs="Times New Roman"/>
          <w:sz w:val="24"/>
          <w:szCs w:val="24"/>
        </w:rPr>
      </w:pPr>
    </w:p>
    <w:p w:rsidR="00A0673F" w:rsidRDefault="00A0673F">
      <w:pPr>
        <w:pStyle w:val="ConsPlusNormal"/>
        <w:jc w:val="right"/>
        <w:rPr>
          <w:rFonts w:ascii="Times New Roman" w:hAnsi="Times New Roman" w:cs="Times New Roman"/>
        </w:rPr>
      </w:pPr>
    </w:p>
    <w:p w:rsidR="00A0673F" w:rsidRDefault="00A0673F">
      <w:pPr>
        <w:pStyle w:val="ConsPlusTitle"/>
        <w:jc w:val="center"/>
        <w:rPr>
          <w:rFonts w:ascii="Times New Roman" w:hAnsi="Times New Roman" w:cs="Times New Roman"/>
          <w:sz w:val="28"/>
          <w:szCs w:val="28"/>
        </w:rPr>
      </w:pPr>
      <w:r>
        <w:rPr>
          <w:rFonts w:ascii="Times New Roman" w:hAnsi="Times New Roman" w:cs="Times New Roman"/>
          <w:sz w:val="28"/>
          <w:szCs w:val="28"/>
        </w:rPr>
        <w:t>ПОРЯДОК УЧЕТА БЮДЖЕТНЫХ И ДЕНЕЖНЫХ ОБЯЗАТЕЛЬСТВ ПОЛУЧАТЕЛЕЙ СРЕДСТВ БЮДЖЕТА КУРТАШКИНСКОГО СЕЛЬСКОГО ПОСЕЛЕНИЯ АТЮРЬЕВСКОГО МУНИЦИПАЛЬНОГО РАЙОНА РЕСПУБЛИКИ МОРДОВИЯ</w:t>
      </w:r>
    </w:p>
    <w:p w:rsidR="00A0673F" w:rsidRDefault="00A0673F">
      <w:pPr>
        <w:pStyle w:val="ConsPlusNormal"/>
        <w:jc w:val="both"/>
        <w:rPr>
          <w:rFonts w:ascii="Times New Roman" w:hAnsi="Times New Roman" w:cs="Times New Roman"/>
          <w:sz w:val="28"/>
          <w:szCs w:val="28"/>
        </w:rPr>
      </w:pPr>
      <w:bookmarkStart w:id="0" w:name="P30"/>
      <w:bookmarkEnd w:id="0"/>
    </w:p>
    <w:p w:rsidR="00A0673F" w:rsidRDefault="00A0673F">
      <w:pPr>
        <w:pStyle w:val="ConsPlusNormal"/>
        <w:jc w:val="center"/>
        <w:outlineLvl w:val="1"/>
        <w:rPr>
          <w:rFonts w:ascii="Times New Roman" w:hAnsi="Times New Roman" w:cs="Times New Roman"/>
          <w:b/>
          <w:bCs/>
          <w:sz w:val="28"/>
          <w:szCs w:val="28"/>
        </w:rPr>
      </w:pPr>
      <w:r>
        <w:rPr>
          <w:rFonts w:ascii="Times New Roman" w:hAnsi="Times New Roman" w:cs="Times New Roman"/>
          <w:b/>
          <w:bCs/>
          <w:sz w:val="28"/>
          <w:szCs w:val="28"/>
        </w:rPr>
        <w:t>I. Общие положения</w:t>
      </w:r>
    </w:p>
    <w:p w:rsidR="00A0673F" w:rsidRDefault="00A0673F">
      <w:pPr>
        <w:pStyle w:val="ConsPlusNormal"/>
        <w:jc w:val="both"/>
        <w:rPr>
          <w:rFonts w:ascii="Times New Roman" w:hAnsi="Times New Roman" w:cs="Times New Roman"/>
          <w:sz w:val="28"/>
          <w:szCs w:val="28"/>
        </w:rPr>
      </w:pP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 Настоящий Порядок разработан на основании </w:t>
      </w:r>
      <w:hyperlink r:id="rId7" w:history="1">
        <w:r>
          <w:rPr>
            <w:rFonts w:ascii="Times New Roman" w:hAnsi="Times New Roman" w:cs="Times New Roman"/>
            <w:sz w:val="28"/>
            <w:szCs w:val="28"/>
          </w:rPr>
          <w:t>статьи 219</w:t>
        </w:r>
      </w:hyperlink>
      <w:r>
        <w:rPr>
          <w:rFonts w:ascii="Times New Roman" w:hAnsi="Times New Roman" w:cs="Times New Roman"/>
          <w:sz w:val="28"/>
          <w:szCs w:val="28"/>
        </w:rPr>
        <w:t xml:space="preserve"> Бюджетного кодекса Российской Федерации и устанавливает процедуру исполнения бюджета Курташкинского сельского поселения Атюрьевского муниципального района Республики Мордовия (далее – бюджет) по расходам в части учета органом, осуществляющим открытие и ведение лицевых счетов получателей средств бюджета (далее - орган, осуществляющий открытие и ведение лицевых счетов), бюджетных и денежных обязательств получателей средств бюджета (далее соответственно - бюджетные обязательства, денежные обязательства).</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 Постановка на учет бюджетных и денежных обязательств осуществляется на основании </w:t>
      </w:r>
      <w:hyperlink w:anchor="P168" w:history="1">
        <w:r>
          <w:rPr>
            <w:rFonts w:ascii="Times New Roman" w:hAnsi="Times New Roman" w:cs="Times New Roman"/>
            <w:sz w:val="28"/>
            <w:szCs w:val="28"/>
          </w:rPr>
          <w:t>сведений</w:t>
        </w:r>
      </w:hyperlink>
      <w:r>
        <w:rPr>
          <w:rFonts w:ascii="Times New Roman" w:hAnsi="Times New Roman" w:cs="Times New Roman"/>
          <w:sz w:val="28"/>
          <w:szCs w:val="28"/>
        </w:rPr>
        <w:t xml:space="preserve"> о бюджетном обязательстве, содержащих информацию согласно приложению № 1 (далее - Сведения о бюджетном обязательстве), и </w:t>
      </w:r>
      <w:hyperlink w:anchor="P298" w:history="1">
        <w:r>
          <w:rPr>
            <w:rFonts w:ascii="Times New Roman" w:hAnsi="Times New Roman" w:cs="Times New Roman"/>
            <w:sz w:val="28"/>
            <w:szCs w:val="28"/>
          </w:rPr>
          <w:t>сведений</w:t>
        </w:r>
      </w:hyperlink>
      <w:r>
        <w:rPr>
          <w:rFonts w:ascii="Times New Roman" w:hAnsi="Times New Roman" w:cs="Times New Roman"/>
          <w:sz w:val="28"/>
          <w:szCs w:val="28"/>
        </w:rPr>
        <w:t xml:space="preserve"> о денежном обязательстве, содержащих информацию согласно приложению № 2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сформированных получателями средств бюджета или органом, осуществляющим открытие и ведение лицевых счетов, в случаях, установленных настоящим Порядком.</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3. 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 или в случаях, предусмотренных </w:t>
      </w:r>
      <w:hyperlink w:anchor="P60" w:history="1">
        <w:r>
          <w:rPr>
            <w:rFonts w:ascii="Times New Roman" w:hAnsi="Times New Roman" w:cs="Times New Roman"/>
            <w:sz w:val="28"/>
            <w:szCs w:val="28"/>
          </w:rPr>
          <w:t>абзацами десятым</w:t>
        </w:r>
      </w:hyperlink>
      <w:r>
        <w:rPr>
          <w:rFonts w:ascii="Times New Roman" w:hAnsi="Times New Roman" w:cs="Times New Roman"/>
          <w:sz w:val="28"/>
          <w:szCs w:val="28"/>
        </w:rPr>
        <w:t xml:space="preserve"> и </w:t>
      </w:r>
      <w:hyperlink w:anchor="P61" w:history="1">
        <w:r>
          <w:rPr>
            <w:rFonts w:ascii="Times New Roman" w:hAnsi="Times New Roman" w:cs="Times New Roman"/>
            <w:sz w:val="28"/>
            <w:szCs w:val="28"/>
          </w:rPr>
          <w:t>одиннадцатым пункта 8</w:t>
        </w:r>
      </w:hyperlink>
      <w:r>
        <w:rPr>
          <w:rFonts w:ascii="Times New Roman" w:hAnsi="Times New Roman" w:cs="Times New Roman"/>
          <w:sz w:val="28"/>
          <w:szCs w:val="28"/>
        </w:rPr>
        <w:t xml:space="preserve">, </w:t>
      </w:r>
      <w:hyperlink w:anchor="P119" w:history="1">
        <w:r>
          <w:rPr>
            <w:rFonts w:ascii="Times New Roman" w:hAnsi="Times New Roman" w:cs="Times New Roman"/>
            <w:sz w:val="28"/>
            <w:szCs w:val="28"/>
          </w:rPr>
          <w:t>абзацем шестым пункта 25</w:t>
        </w:r>
      </w:hyperlink>
      <w:r>
        <w:rPr>
          <w:rFonts w:ascii="Times New Roman" w:hAnsi="Times New Roman" w:cs="Times New Roman"/>
          <w:sz w:val="28"/>
          <w:szCs w:val="28"/>
        </w:rPr>
        <w:t xml:space="preserve"> настоящего Порядка, - органа, осуществляющего открытие и ведение лицевых счетов.</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4. </w:t>
      </w:r>
      <w:hyperlink w:anchor="P168" w:history="1">
        <w:r>
          <w:rPr>
            <w:rFonts w:ascii="Times New Roman" w:hAnsi="Times New Roman" w:cs="Times New Roman"/>
            <w:sz w:val="28"/>
            <w:szCs w:val="28"/>
          </w:rPr>
          <w:t>Сведения</w:t>
        </w:r>
      </w:hyperlink>
      <w:r>
        <w:rPr>
          <w:rFonts w:ascii="Times New Roman" w:hAnsi="Times New Roman" w:cs="Times New Roman"/>
          <w:sz w:val="28"/>
          <w:szCs w:val="28"/>
        </w:rPr>
        <w:t xml:space="preserve"> о бюджетном обязательстве и </w:t>
      </w:r>
      <w:hyperlink w:anchor="P298" w:history="1">
        <w:r>
          <w:rPr>
            <w:rFonts w:ascii="Times New Roman" w:hAnsi="Times New Roman" w:cs="Times New Roman"/>
            <w:sz w:val="28"/>
            <w:szCs w:val="28"/>
          </w:rPr>
          <w:t>Сведения</w:t>
        </w:r>
      </w:hyperlink>
      <w:r>
        <w:rPr>
          <w:rFonts w:ascii="Times New Roman" w:hAnsi="Times New Roman" w:cs="Times New Roman"/>
          <w:sz w:val="28"/>
          <w:szCs w:val="28"/>
        </w:rPr>
        <w:t xml:space="preserve">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бюджета, и направляются в орган, осуществляющий открытие и ведение лицевых счетов, на бумажном носителе по форме согласно приложению № 1 к настоящему Порядку (код формы по </w:t>
      </w:r>
      <w:hyperlink r:id="rId8" w:history="1">
        <w:r>
          <w:rPr>
            <w:rFonts w:ascii="Times New Roman" w:hAnsi="Times New Roman" w:cs="Times New Roman"/>
            <w:sz w:val="28"/>
            <w:szCs w:val="28"/>
          </w:rPr>
          <w:t>ОКУД</w:t>
        </w:r>
      </w:hyperlink>
      <w:r>
        <w:rPr>
          <w:rFonts w:ascii="Times New Roman" w:hAnsi="Times New Roman" w:cs="Times New Roman"/>
          <w:sz w:val="28"/>
          <w:szCs w:val="28"/>
        </w:rPr>
        <w:t xml:space="preserve"> 0506101) и приложению № 2 настоящему Порядку (код формы по </w:t>
      </w:r>
      <w:hyperlink r:id="rId9" w:history="1">
        <w:r>
          <w:rPr>
            <w:rFonts w:ascii="Times New Roman" w:hAnsi="Times New Roman" w:cs="Times New Roman"/>
            <w:sz w:val="28"/>
            <w:szCs w:val="28"/>
          </w:rPr>
          <w:t>ОКУД</w:t>
        </w:r>
      </w:hyperlink>
      <w:r>
        <w:rPr>
          <w:rFonts w:ascii="Times New Roman" w:hAnsi="Times New Roman" w:cs="Times New Roman"/>
          <w:sz w:val="28"/>
          <w:szCs w:val="28"/>
        </w:rPr>
        <w:t xml:space="preserve"> 0506102) и при наличии технической возможности - на съемном машинном носителе информации (далее - на бумажном носителе). Получатель средств бюджета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бюджета 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5. Лица, имеющие право действовать от имени получателя средств бюджета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A0673F" w:rsidRDefault="00A0673F">
      <w:pPr>
        <w:pStyle w:val="ConsPlusNormal"/>
        <w:jc w:val="both"/>
        <w:rPr>
          <w:rFonts w:ascii="Times New Roman" w:hAnsi="Times New Roman" w:cs="Times New Roman"/>
          <w:sz w:val="28"/>
          <w:szCs w:val="28"/>
        </w:rPr>
      </w:pPr>
    </w:p>
    <w:p w:rsidR="00A0673F" w:rsidRDefault="00A0673F">
      <w:pPr>
        <w:pStyle w:val="ConsPlusNormal"/>
        <w:jc w:val="center"/>
        <w:outlineLvl w:val="1"/>
        <w:rPr>
          <w:rFonts w:ascii="Times New Roman" w:hAnsi="Times New Roman" w:cs="Times New Roman"/>
          <w:b/>
          <w:bCs/>
          <w:sz w:val="28"/>
          <w:szCs w:val="28"/>
        </w:rPr>
      </w:pPr>
      <w:r>
        <w:rPr>
          <w:rFonts w:ascii="Times New Roman" w:hAnsi="Times New Roman" w:cs="Times New Roman"/>
          <w:b/>
          <w:bCs/>
          <w:sz w:val="28"/>
          <w:szCs w:val="28"/>
        </w:rPr>
        <w:t>II. Порядок учета бюджетных обязательств</w:t>
      </w:r>
    </w:p>
    <w:p w:rsidR="00A0673F" w:rsidRDefault="00A0673F">
      <w:pPr>
        <w:pStyle w:val="ConsPlusNormal"/>
        <w:jc w:val="both"/>
        <w:rPr>
          <w:rFonts w:ascii="Times New Roman" w:hAnsi="Times New Roman" w:cs="Times New Roman"/>
          <w:sz w:val="28"/>
          <w:szCs w:val="28"/>
        </w:rPr>
      </w:pP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6. 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w:anchor="P450" w:history="1">
        <w:r>
          <w:rPr>
            <w:rFonts w:ascii="Times New Roman" w:hAnsi="Times New Roman" w:cs="Times New Roman"/>
            <w:sz w:val="28"/>
            <w:szCs w:val="28"/>
          </w:rPr>
          <w:t>графе 2</w:t>
        </w:r>
      </w:hyperlink>
      <w:r>
        <w:rPr>
          <w:rFonts w:ascii="Times New Roman" w:hAnsi="Times New Roman" w:cs="Times New Roman"/>
          <w:sz w:val="28"/>
          <w:szCs w:val="28"/>
        </w:rPr>
        <w:t xml:space="preserve">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согласно приложению № 3 к настоящему Порядку (далее соответственно - документы-основания, Перечень).</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7. Учет бюджетных обязательств по исполнительным документам и решениям налоговых органов осуществляется с учетом раздела III настоящего Порядка.</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8. Сведения о бюджетных обязательствах, возникших на основании документов-оснований, предусмотренных </w:t>
      </w:r>
      <w:hyperlink w:anchor="P456" w:history="1">
        <w:r>
          <w:rPr>
            <w:rFonts w:ascii="Times New Roman" w:hAnsi="Times New Roman" w:cs="Times New Roman"/>
            <w:sz w:val="28"/>
            <w:szCs w:val="28"/>
          </w:rPr>
          <w:t>пунктами 1</w:t>
        </w:r>
      </w:hyperlink>
      <w:r>
        <w:rPr>
          <w:rFonts w:ascii="Times New Roman" w:hAnsi="Times New Roman" w:cs="Times New Roman"/>
          <w:sz w:val="28"/>
          <w:szCs w:val="28"/>
        </w:rPr>
        <w:t xml:space="preserve"> и </w:t>
      </w:r>
      <w:hyperlink w:anchor="P459" w:history="1">
        <w:r>
          <w:rPr>
            <w:rFonts w:ascii="Times New Roman" w:hAnsi="Times New Roman" w:cs="Times New Roman"/>
            <w:sz w:val="28"/>
            <w:szCs w:val="28"/>
          </w:rPr>
          <w:t>2 графы 2</w:t>
        </w:r>
      </w:hyperlink>
      <w:r>
        <w:rPr>
          <w:rFonts w:ascii="Times New Roman" w:hAnsi="Times New Roman" w:cs="Times New Roman"/>
          <w:sz w:val="28"/>
          <w:szCs w:val="28"/>
        </w:rPr>
        <w:t xml:space="preserve"> Перечня (далее - принимаемые бюджетные обязательства), формируются:</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не позднее трех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10" w:history="1">
        <w:r>
          <w:rPr>
            <w:rFonts w:ascii="Times New Roman" w:hAnsi="Times New Roman" w:cs="Times New Roman"/>
            <w:sz w:val="28"/>
            <w:szCs w:val="28"/>
          </w:rPr>
          <w:t>абзацем вторым пункта 6</w:t>
        </w:r>
      </w:hyperlink>
      <w:r>
        <w:rPr>
          <w:rFonts w:ascii="Times New Roman" w:hAnsi="Times New Roman" w:cs="Times New Roman"/>
          <w:sz w:val="28"/>
          <w:szCs w:val="28"/>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Сведения о бюджетных обязательствах, возникших на основании документов-оснований, предусмотренных </w:t>
      </w:r>
      <w:hyperlink w:anchor="P462" w:history="1">
        <w:r>
          <w:rPr>
            <w:rFonts w:ascii="Times New Roman" w:hAnsi="Times New Roman" w:cs="Times New Roman"/>
            <w:sz w:val="28"/>
            <w:szCs w:val="28"/>
          </w:rPr>
          <w:t>пунктами 3</w:t>
        </w:r>
      </w:hyperlink>
      <w:r>
        <w:rPr>
          <w:rFonts w:ascii="Times New Roman" w:hAnsi="Times New Roman" w:cs="Times New Roman"/>
          <w:sz w:val="28"/>
          <w:szCs w:val="28"/>
        </w:rPr>
        <w:t xml:space="preserve"> - </w:t>
      </w:r>
      <w:hyperlink w:anchor="P547" w:history="1">
        <w:r>
          <w:rPr>
            <w:rFonts w:ascii="Times New Roman" w:hAnsi="Times New Roman" w:cs="Times New Roman"/>
            <w:sz w:val="28"/>
            <w:szCs w:val="28"/>
          </w:rPr>
          <w:t>13 графы 2</w:t>
        </w:r>
      </w:hyperlink>
      <w:r>
        <w:rPr>
          <w:rFonts w:ascii="Times New Roman" w:hAnsi="Times New Roman" w:cs="Times New Roman"/>
          <w:sz w:val="28"/>
          <w:szCs w:val="28"/>
        </w:rPr>
        <w:t xml:space="preserve"> Перечня (далее - принятые бюджетные обязательства), формируются:</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получателем средств бюджета:</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в части принятых бюджетных обязательств, возникших на основании документов-оснований, предусмотренных </w:t>
      </w:r>
      <w:hyperlink w:anchor="P462" w:history="1">
        <w:r>
          <w:rPr>
            <w:rFonts w:ascii="Times New Roman" w:hAnsi="Times New Roman" w:cs="Times New Roman"/>
            <w:sz w:val="28"/>
            <w:szCs w:val="28"/>
          </w:rPr>
          <w:t>пунктами 3</w:t>
        </w:r>
      </w:hyperlink>
      <w:r>
        <w:rPr>
          <w:rFonts w:ascii="Times New Roman" w:hAnsi="Times New Roman" w:cs="Times New Roman"/>
          <w:sz w:val="28"/>
          <w:szCs w:val="28"/>
        </w:rPr>
        <w:t xml:space="preserve"> и </w:t>
      </w:r>
      <w:hyperlink w:anchor="P475" w:history="1">
        <w:r>
          <w:rPr>
            <w:rFonts w:ascii="Times New Roman" w:hAnsi="Times New Roman" w:cs="Times New Roman"/>
            <w:sz w:val="28"/>
            <w:szCs w:val="28"/>
          </w:rPr>
          <w:t>7 графы 2</w:t>
        </w:r>
      </w:hyperlink>
      <w:r>
        <w:rPr>
          <w:rFonts w:ascii="Times New Roman" w:hAnsi="Times New Roman" w:cs="Times New Roman"/>
          <w:sz w:val="28"/>
          <w:szCs w:val="28"/>
        </w:rPr>
        <w:t xml:space="preserve"> Перечня и не содержащих сведения, составляющие государственную тайну, - не позднее трех рабочих дней со дня заключения государственного контракта (договора), указанных в названных пунктах </w:t>
      </w:r>
      <w:hyperlink w:anchor="P450" w:history="1">
        <w:r>
          <w:rPr>
            <w:rFonts w:ascii="Times New Roman" w:hAnsi="Times New Roman" w:cs="Times New Roman"/>
            <w:sz w:val="28"/>
            <w:szCs w:val="28"/>
          </w:rPr>
          <w:t>графы 2</w:t>
        </w:r>
      </w:hyperlink>
      <w:r>
        <w:rPr>
          <w:rFonts w:ascii="Times New Roman" w:hAnsi="Times New Roman" w:cs="Times New Roman"/>
          <w:sz w:val="28"/>
          <w:szCs w:val="28"/>
        </w:rPr>
        <w:t xml:space="preserve"> Перечня;</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в части принятых бюджетных обязательств, возникших на основании документов-оснований, предусмотренных </w:t>
      </w:r>
      <w:hyperlink w:anchor="P462" w:history="1">
        <w:r>
          <w:rPr>
            <w:rFonts w:ascii="Times New Roman" w:hAnsi="Times New Roman" w:cs="Times New Roman"/>
            <w:sz w:val="28"/>
            <w:szCs w:val="28"/>
          </w:rPr>
          <w:t>пунктами 3</w:t>
        </w:r>
      </w:hyperlink>
      <w:r>
        <w:rPr>
          <w:rFonts w:ascii="Times New Roman" w:hAnsi="Times New Roman" w:cs="Times New Roman"/>
          <w:sz w:val="28"/>
          <w:szCs w:val="28"/>
        </w:rPr>
        <w:t xml:space="preserve"> - </w:t>
      </w:r>
      <w:hyperlink w:anchor="P522" w:history="1">
        <w:r>
          <w:rPr>
            <w:rFonts w:ascii="Times New Roman" w:hAnsi="Times New Roman" w:cs="Times New Roman"/>
            <w:sz w:val="28"/>
            <w:szCs w:val="28"/>
          </w:rPr>
          <w:t>9 графы 2</w:t>
        </w:r>
      </w:hyperlink>
      <w:r>
        <w:rPr>
          <w:rFonts w:ascii="Times New Roman" w:hAnsi="Times New Roman" w:cs="Times New Roman"/>
          <w:sz w:val="28"/>
          <w:szCs w:val="28"/>
        </w:rPr>
        <w:t xml:space="preserve"> Перечня, содержащих сведения, составляющие государственную тайну, - не позднее шести рабочих дней со дня их заключения;</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в части принятых бюджетных обязательств, возникших на основании документов-оснований, предусмотренных </w:t>
      </w:r>
      <w:hyperlink w:anchor="P530" w:history="1">
        <w:r>
          <w:rPr>
            <w:rFonts w:ascii="Times New Roman" w:hAnsi="Times New Roman" w:cs="Times New Roman"/>
            <w:sz w:val="28"/>
            <w:szCs w:val="28"/>
          </w:rPr>
          <w:t>пунктом 10 графы 2</w:t>
        </w:r>
      </w:hyperlink>
      <w:r>
        <w:rPr>
          <w:rFonts w:ascii="Times New Roman" w:hAnsi="Times New Roman" w:cs="Times New Roman"/>
          <w:sz w:val="28"/>
          <w:szCs w:val="28"/>
        </w:rPr>
        <w:t xml:space="preserve"> Перечня, - не позднее трех рабочих дней со дня доведения лимитов бюджетных обязательств на принятие и исполнение получателем средств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органом, осуществляющим открытие и ведение лицевых счетов:</w:t>
      </w:r>
      <w:bookmarkStart w:id="1" w:name="P60"/>
      <w:bookmarkEnd w:id="1"/>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в части принятых бюджетных обязательств, возникших на основании документов-оснований, предусмотренных </w:t>
      </w:r>
      <w:hyperlink w:anchor="P488" w:history="1">
        <w:r>
          <w:rPr>
            <w:rFonts w:ascii="Times New Roman" w:hAnsi="Times New Roman" w:cs="Times New Roman"/>
            <w:sz w:val="28"/>
            <w:szCs w:val="28"/>
          </w:rPr>
          <w:t>пунктами 8,</w:t>
        </w:r>
      </w:hyperlink>
      <w:r>
        <w:rPr>
          <w:rFonts w:ascii="Times New Roman" w:hAnsi="Times New Roman" w:cs="Times New Roman"/>
          <w:sz w:val="28"/>
          <w:szCs w:val="28"/>
        </w:rPr>
        <w:t xml:space="preserve"> </w:t>
      </w:r>
      <w:hyperlink w:anchor="P522" w:history="1">
        <w:r>
          <w:rPr>
            <w:rFonts w:ascii="Times New Roman" w:hAnsi="Times New Roman" w:cs="Times New Roman"/>
            <w:sz w:val="28"/>
            <w:szCs w:val="28"/>
          </w:rPr>
          <w:t>9 графы 2</w:t>
        </w:r>
      </w:hyperlink>
      <w:r>
        <w:rPr>
          <w:rFonts w:ascii="Times New Roman" w:hAnsi="Times New Roman" w:cs="Times New Roman"/>
          <w:sz w:val="28"/>
          <w:szCs w:val="28"/>
        </w:rPr>
        <w:t xml:space="preserve"> Перечня, за исключением документов-оснований, содержащих сведения, составляющие государственную тайну, Сведения о бюджетных обязательствах по которым формируются получателем средств бюджета;</w:t>
      </w:r>
      <w:bookmarkStart w:id="2" w:name="P61"/>
      <w:bookmarkEnd w:id="2"/>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в части принятых бюджетных обязательств, возникших на основании документов-оснований, предусмотренных </w:t>
      </w:r>
      <w:hyperlink w:anchor="P547" w:history="1">
        <w:r>
          <w:rPr>
            <w:rFonts w:ascii="Times New Roman" w:hAnsi="Times New Roman" w:cs="Times New Roman"/>
            <w:sz w:val="28"/>
            <w:szCs w:val="28"/>
          </w:rPr>
          <w:t>пунктом 13 графы 2</w:t>
        </w:r>
      </w:hyperlink>
      <w:r>
        <w:rPr>
          <w:rFonts w:ascii="Times New Roman" w:hAnsi="Times New Roman" w:cs="Times New Roman"/>
          <w:sz w:val="28"/>
          <w:szCs w:val="28"/>
        </w:rPr>
        <w:t xml:space="preserve"> Перечня, одновременно с формированием Сведений о денежных обязательствах по данному бюджетному обязательству.</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9. Сведения о бюджетном обязательстве, возникшем на основании документа-основания, предусмотренного </w:t>
      </w:r>
      <w:hyperlink w:anchor="P475" w:history="1">
        <w:r>
          <w:rPr>
            <w:rFonts w:ascii="Times New Roman" w:hAnsi="Times New Roman" w:cs="Times New Roman"/>
            <w:sz w:val="28"/>
            <w:szCs w:val="28"/>
          </w:rPr>
          <w:t>пунктом 4 графы 2</w:t>
        </w:r>
      </w:hyperlink>
      <w:r>
        <w:rPr>
          <w:rFonts w:ascii="Times New Roman" w:hAnsi="Times New Roman" w:cs="Times New Roman"/>
          <w:sz w:val="28"/>
          <w:szCs w:val="28"/>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за исключением Сведений о бюджетном обязательстве, содержащих сведения, составляющие государственную тайну.</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P530" w:history="1">
        <w:r>
          <w:rPr>
            <w:rFonts w:ascii="Times New Roman" w:hAnsi="Times New Roman" w:cs="Times New Roman"/>
            <w:sz w:val="28"/>
            <w:szCs w:val="28"/>
          </w:rPr>
          <w:t>пунктом 10 графы 2</w:t>
        </w:r>
      </w:hyperlink>
      <w:r>
        <w:rPr>
          <w:rFonts w:ascii="Times New Roman" w:hAnsi="Times New Roman" w:cs="Times New Roman"/>
          <w:sz w:val="28"/>
          <w:szCs w:val="28"/>
        </w:rPr>
        <w:t xml:space="preserve"> Перечня, копия указанного документа-основания в орган, осуществляющий открытие и ведение лицевых счетов, не представляется.</w:t>
      </w:r>
      <w:bookmarkStart w:id="3" w:name="P64"/>
      <w:bookmarkEnd w:id="3"/>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10.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11.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bookmarkStart w:id="4" w:name="P66"/>
      <w:bookmarkEnd w:id="4"/>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12.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P456" w:history="1">
        <w:r>
          <w:rPr>
            <w:rFonts w:ascii="Times New Roman" w:hAnsi="Times New Roman" w:cs="Times New Roman"/>
            <w:sz w:val="28"/>
            <w:szCs w:val="28"/>
          </w:rPr>
          <w:t>пунктами 1</w:t>
        </w:r>
      </w:hyperlink>
      <w:r>
        <w:rPr>
          <w:rFonts w:ascii="Times New Roman" w:hAnsi="Times New Roman" w:cs="Times New Roman"/>
          <w:sz w:val="28"/>
          <w:szCs w:val="28"/>
        </w:rPr>
        <w:t xml:space="preserve"> - </w:t>
      </w:r>
      <w:hyperlink w:anchor="P547" w:history="1">
        <w:r>
          <w:rPr>
            <w:rFonts w:ascii="Times New Roman" w:hAnsi="Times New Roman" w:cs="Times New Roman"/>
            <w:sz w:val="28"/>
            <w:szCs w:val="28"/>
          </w:rPr>
          <w:t>13 графы 2</w:t>
        </w:r>
      </w:hyperlink>
      <w:r>
        <w:rPr>
          <w:rFonts w:ascii="Times New Roman" w:hAnsi="Times New Roman" w:cs="Times New Roman"/>
          <w:sz w:val="28"/>
          <w:szCs w:val="28"/>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двух рабочих дней со дня получения от получателя средств бюджета Сведений о бюджетном обязательстве, возникшем на основании документов-оснований, указанных в </w:t>
      </w:r>
      <w:hyperlink w:anchor="P456" w:history="1">
        <w:r>
          <w:rPr>
            <w:rFonts w:ascii="Times New Roman" w:hAnsi="Times New Roman" w:cs="Times New Roman"/>
            <w:sz w:val="28"/>
            <w:szCs w:val="28"/>
          </w:rPr>
          <w:t>пунктах 1</w:t>
        </w:r>
      </w:hyperlink>
      <w:r>
        <w:rPr>
          <w:rFonts w:ascii="Times New Roman" w:hAnsi="Times New Roman" w:cs="Times New Roman"/>
          <w:sz w:val="28"/>
          <w:szCs w:val="28"/>
        </w:rPr>
        <w:t xml:space="preserve"> - 7 и </w:t>
      </w:r>
      <w:hyperlink w:anchor="P530" w:history="1">
        <w:r>
          <w:rPr>
            <w:rFonts w:ascii="Times New Roman" w:hAnsi="Times New Roman" w:cs="Times New Roman"/>
            <w:sz w:val="28"/>
            <w:szCs w:val="28"/>
          </w:rPr>
          <w:t>10</w:t>
        </w:r>
      </w:hyperlink>
      <w:r>
        <w:rPr>
          <w:rFonts w:ascii="Times New Roman" w:hAnsi="Times New Roman" w:cs="Times New Roman"/>
          <w:sz w:val="28"/>
          <w:szCs w:val="28"/>
        </w:rPr>
        <w:t xml:space="preserve"> - </w:t>
      </w:r>
      <w:hyperlink w:anchor="P542" w:history="1">
        <w:r>
          <w:rPr>
            <w:rFonts w:ascii="Times New Roman" w:hAnsi="Times New Roman" w:cs="Times New Roman"/>
            <w:sz w:val="28"/>
            <w:szCs w:val="28"/>
          </w:rPr>
          <w:t>12</w:t>
        </w:r>
      </w:hyperlink>
      <w:r>
        <w:rPr>
          <w:rFonts w:ascii="Times New Roman" w:hAnsi="Times New Roman" w:cs="Times New Roman"/>
          <w:sz w:val="28"/>
          <w:szCs w:val="28"/>
        </w:rPr>
        <w:t xml:space="preserve"> Перечня;</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w:anchor="P488" w:history="1">
        <w:r>
          <w:rPr>
            <w:rFonts w:ascii="Times New Roman" w:hAnsi="Times New Roman" w:cs="Times New Roman"/>
            <w:sz w:val="28"/>
            <w:szCs w:val="28"/>
          </w:rPr>
          <w:t>пунктами 8,</w:t>
        </w:r>
      </w:hyperlink>
      <w:r>
        <w:rPr>
          <w:rFonts w:ascii="Times New Roman" w:hAnsi="Times New Roman" w:cs="Times New Roman"/>
          <w:sz w:val="28"/>
          <w:szCs w:val="28"/>
        </w:rPr>
        <w:t xml:space="preserve"> </w:t>
      </w:r>
      <w:hyperlink w:anchor="P522" w:history="1">
        <w:r>
          <w:rPr>
            <w:rFonts w:ascii="Times New Roman" w:hAnsi="Times New Roman" w:cs="Times New Roman"/>
            <w:sz w:val="28"/>
            <w:szCs w:val="28"/>
          </w:rPr>
          <w:t>9</w:t>
        </w:r>
      </w:hyperlink>
      <w:r>
        <w:rPr>
          <w:rFonts w:ascii="Times New Roman" w:hAnsi="Times New Roman" w:cs="Times New Roman"/>
          <w:sz w:val="28"/>
          <w:szCs w:val="28"/>
        </w:rPr>
        <w:t xml:space="preserve"> и </w:t>
      </w:r>
      <w:hyperlink w:anchor="P547" w:history="1">
        <w:r>
          <w:rPr>
            <w:rFonts w:ascii="Times New Roman" w:hAnsi="Times New Roman" w:cs="Times New Roman"/>
            <w:sz w:val="28"/>
            <w:szCs w:val="28"/>
          </w:rPr>
          <w:t>13 графы 2</w:t>
        </w:r>
      </w:hyperlink>
      <w:r>
        <w:rPr>
          <w:rFonts w:ascii="Times New Roman" w:hAnsi="Times New Roman" w:cs="Times New Roman"/>
          <w:sz w:val="28"/>
          <w:szCs w:val="28"/>
        </w:rPr>
        <w:t xml:space="preserve"> Перечня.</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w:anchor="P456" w:history="1">
        <w:r>
          <w:rPr>
            <w:rFonts w:ascii="Times New Roman" w:hAnsi="Times New Roman" w:cs="Times New Roman"/>
            <w:sz w:val="28"/>
            <w:szCs w:val="28"/>
          </w:rPr>
          <w:t>пунктами 1</w:t>
        </w:r>
      </w:hyperlink>
      <w:r>
        <w:rPr>
          <w:rFonts w:ascii="Times New Roman" w:hAnsi="Times New Roman" w:cs="Times New Roman"/>
          <w:sz w:val="28"/>
          <w:szCs w:val="28"/>
        </w:rPr>
        <w:t xml:space="preserve"> - </w:t>
      </w:r>
      <w:hyperlink w:anchor="P547" w:history="1">
        <w:r>
          <w:rPr>
            <w:rFonts w:ascii="Times New Roman" w:hAnsi="Times New Roman" w:cs="Times New Roman"/>
            <w:sz w:val="28"/>
            <w:szCs w:val="28"/>
          </w:rPr>
          <w:t>13 графы 2</w:t>
        </w:r>
      </w:hyperlink>
      <w:r>
        <w:rPr>
          <w:rFonts w:ascii="Times New Roman" w:hAnsi="Times New Roman" w:cs="Times New Roman"/>
          <w:sz w:val="28"/>
          <w:szCs w:val="28"/>
        </w:rPr>
        <w:t xml:space="preserve"> Перечня, на:</w:t>
      </w:r>
      <w:bookmarkStart w:id="5" w:name="P70"/>
      <w:bookmarkEnd w:id="5"/>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w:anchor="P462" w:history="1">
        <w:r>
          <w:rPr>
            <w:rFonts w:ascii="Times New Roman" w:hAnsi="Times New Roman" w:cs="Times New Roman"/>
            <w:sz w:val="28"/>
            <w:szCs w:val="28"/>
          </w:rPr>
          <w:t>пункте 3 графы 2</w:t>
        </w:r>
      </w:hyperlink>
      <w:r>
        <w:rPr>
          <w:rFonts w:ascii="Times New Roman" w:hAnsi="Times New Roman" w:cs="Times New Roman"/>
          <w:sz w:val="28"/>
          <w:szCs w:val="28"/>
        </w:rPr>
        <w:t xml:space="preserve"> Перечня (за исключением Сведений о бюджетном обязательстве, содержащих сведения, составляющие государственную тайну);</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w:anchor="P168" w:history="1">
        <w:r>
          <w:rPr>
            <w:rFonts w:ascii="Times New Roman" w:hAnsi="Times New Roman" w:cs="Times New Roman"/>
            <w:sz w:val="28"/>
            <w:szCs w:val="28"/>
          </w:rPr>
          <w:t>Сведения</w:t>
        </w:r>
      </w:hyperlink>
      <w:r>
        <w:rPr>
          <w:rFonts w:ascii="Times New Roman" w:hAnsi="Times New Roman" w:cs="Times New Roman"/>
          <w:sz w:val="28"/>
          <w:szCs w:val="28"/>
        </w:rPr>
        <w:t xml:space="preserve"> о бюджетном обязательстве в соответствии с приложением №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bookmarkStart w:id="6" w:name="P72"/>
      <w:bookmarkEnd w:id="6"/>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соблюдение правил формирования </w:t>
      </w:r>
      <w:hyperlink w:anchor="P168" w:history="1">
        <w:r>
          <w:rPr>
            <w:rFonts w:ascii="Times New Roman" w:hAnsi="Times New Roman" w:cs="Times New Roman"/>
            <w:sz w:val="28"/>
            <w:szCs w:val="28"/>
          </w:rPr>
          <w:t>Сведений</w:t>
        </w:r>
      </w:hyperlink>
      <w:r>
        <w:rPr>
          <w:rFonts w:ascii="Times New Roman" w:hAnsi="Times New Roman" w:cs="Times New Roman"/>
          <w:sz w:val="28"/>
          <w:szCs w:val="28"/>
        </w:rPr>
        <w:t xml:space="preserve"> о бюджетном обязательстве, установленных настоящей главой и приложением №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bookmarkStart w:id="7" w:name="P73"/>
      <w:bookmarkEnd w:id="7"/>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непревышение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или на лицевом счете для учета операций по переданным полномочиям получателя средств бюджета, открытых в установленном порядке (далее - соответствующий лицевой счет получателя средств бюджета), отдельно для текущего финансового года, для первого и для второго года планового периода;</w:t>
      </w:r>
      <w:bookmarkStart w:id="8" w:name="P74"/>
      <w:bookmarkEnd w:id="8"/>
    </w:p>
    <w:p w:rsidR="00A0673F" w:rsidRDefault="00A0673F">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 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указанному(ым) в Сведениях о бюджетном обязательстве, документе-основании.</w:t>
      </w:r>
    </w:p>
    <w:p w:rsidR="00A0673F" w:rsidRDefault="00A0673F">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 наличие в Сведениях о бюджетном обязательстве идентификатора муниципального контракта (контракта, договора, соглашения), сформированного в соответствии с порядком, утвержденным приказом Федерального казначейства от 9 января 2019 г. № 3н (далее – идентификатор муниципального контракта (контракта, договора, соглашения)), в случае, если по муниципальному контракту (контракту, договору, соглашению) осуществляются платежи, подлежащие казначейскому сопровождению в соответствии 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 275н;</w:t>
      </w:r>
    </w:p>
    <w:p w:rsidR="00A0673F" w:rsidRDefault="00A0673F">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 xml:space="preserve"> соответствие указанного в Сведениях о бюджетном обязательстве идентификатора муниципального контракта (контракта, договора, соглашения), идентификатору муниципального контракта (контракта, договора, соглашения), указанному в документе-основания.</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пятым части второй  настоящего пункта.</w:t>
      </w:r>
      <w:bookmarkStart w:id="9" w:name="P76"/>
      <w:bookmarkEnd w:id="9"/>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При постановке на учет бюджетного обязательства (внесение изменений в поставленное на учет бюджетное обязательство) орган, осуществляющий открытие и ведение лицевых счетов, осуществляет проверку предмета бюджетного обязательства, наименование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пунктами 1 – 9 графы 2 Перечня, на предмет соблюдения запрета на финансовое обеспечение за счет средств районного бюджета капитальных вложений в объекты муниципальной собственности (в том числе в форме субсидий и иных межбюджетных трансфертов местным бюджетам), кроме случаев, когда в целях софинансирования (финансового обеспечения) капитальных вложений в объекты муниципальной собственности из федерального бюджета предоставляются субсидии и иные межбюджетные трансферты бюджету Курташкинского сельского поселения Атюрьевского муниципального района Республики Мордовия.</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13.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w:anchor="P66" w:history="1">
        <w:r>
          <w:rPr>
            <w:rFonts w:ascii="Times New Roman" w:hAnsi="Times New Roman" w:cs="Times New Roman"/>
            <w:sz w:val="28"/>
            <w:szCs w:val="28"/>
          </w:rPr>
          <w:t>пунктом 12</w:t>
        </w:r>
      </w:hyperlink>
      <w:r>
        <w:rPr>
          <w:rFonts w:ascii="Times New Roman" w:hAnsi="Times New Roman" w:cs="Times New Roman"/>
          <w:sz w:val="28"/>
          <w:szCs w:val="28"/>
        </w:rPr>
        <w:t xml:space="preserve"> настоящего Порядка, также осуществляется проверка Сведений о бюджетном обязательстве на:</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соответствие формы Сведений о бюджетном обязательстве </w:t>
      </w:r>
      <w:hyperlink w:anchor="P168" w:history="1">
        <w:r>
          <w:rPr>
            <w:rFonts w:ascii="Times New Roman" w:hAnsi="Times New Roman" w:cs="Times New Roman"/>
            <w:sz w:val="28"/>
            <w:szCs w:val="28"/>
          </w:rPr>
          <w:t>приложению 1</w:t>
        </w:r>
      </w:hyperlink>
      <w:r>
        <w:rPr>
          <w:rFonts w:ascii="Times New Roman" w:hAnsi="Times New Roman" w:cs="Times New Roman"/>
          <w:sz w:val="28"/>
          <w:szCs w:val="28"/>
        </w:rPr>
        <w:t xml:space="preserve"> к настоящему Порядку;</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bookmarkStart w:id="10" w:name="P79"/>
      <w:bookmarkEnd w:id="10"/>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14. 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w:anchor="P66" w:history="1">
        <w:r>
          <w:rPr>
            <w:rFonts w:ascii="Times New Roman" w:hAnsi="Times New Roman" w:cs="Times New Roman"/>
            <w:sz w:val="28"/>
            <w:szCs w:val="28"/>
          </w:rPr>
          <w:t>пунктами 12</w:t>
        </w:r>
      </w:hyperlink>
      <w:r>
        <w:rPr>
          <w:rFonts w:ascii="Times New Roman" w:hAnsi="Times New Roman" w:cs="Times New Roman"/>
          <w:sz w:val="28"/>
          <w:szCs w:val="28"/>
        </w:rPr>
        <w:t xml:space="preserve"> и </w:t>
      </w:r>
      <w:hyperlink w:anchor="P76" w:history="1">
        <w:r>
          <w:rPr>
            <w:rFonts w:ascii="Times New Roman" w:hAnsi="Times New Roman" w:cs="Times New Roman"/>
            <w:sz w:val="28"/>
            <w:szCs w:val="28"/>
          </w:rPr>
          <w:t>13</w:t>
        </w:r>
      </w:hyperlink>
      <w:r>
        <w:rPr>
          <w:rFonts w:ascii="Times New Roman" w:hAnsi="Times New Roman" w:cs="Times New Roman"/>
          <w:sz w:val="28"/>
          <w:szCs w:val="28"/>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11" w:history="1">
        <w:r>
          <w:rPr>
            <w:rFonts w:ascii="Times New Roman" w:hAnsi="Times New Roman" w:cs="Times New Roman"/>
            <w:sz w:val="28"/>
            <w:szCs w:val="28"/>
          </w:rPr>
          <w:t>ОКУД</w:t>
        </w:r>
      </w:hyperlink>
      <w:r>
        <w:rPr>
          <w:rFonts w:ascii="Times New Roman" w:hAnsi="Times New Roman" w:cs="Times New Roman"/>
          <w:sz w:val="28"/>
          <w:szCs w:val="28"/>
        </w:rPr>
        <w:t xml:space="preserve"> 0506105) (далее - Извещение о бюджетном обязательстве).</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Извещение о бюджетном обязательстве направляется получателю средств бюджета органом, осуществляющим открытие и ведение лицевых счетов:</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в </w:t>
      </w:r>
      <w:hyperlink w:anchor="P488" w:history="1">
        <w:r>
          <w:rPr>
            <w:rFonts w:ascii="Times New Roman" w:hAnsi="Times New Roman" w:cs="Times New Roman"/>
            <w:sz w:val="28"/>
            <w:szCs w:val="28"/>
          </w:rPr>
          <w:t>пунктах 8,</w:t>
        </w:r>
      </w:hyperlink>
      <w:r>
        <w:rPr>
          <w:rFonts w:ascii="Times New Roman" w:hAnsi="Times New Roman" w:cs="Times New Roman"/>
          <w:sz w:val="28"/>
          <w:szCs w:val="28"/>
        </w:rPr>
        <w:t xml:space="preserve"> </w:t>
      </w:r>
      <w:hyperlink w:anchor="P522" w:history="1">
        <w:r>
          <w:rPr>
            <w:rFonts w:ascii="Times New Roman" w:hAnsi="Times New Roman" w:cs="Times New Roman"/>
            <w:sz w:val="28"/>
            <w:szCs w:val="28"/>
          </w:rPr>
          <w:t>9</w:t>
        </w:r>
      </w:hyperlink>
      <w:r>
        <w:rPr>
          <w:rFonts w:ascii="Times New Roman" w:hAnsi="Times New Roman" w:cs="Times New Roman"/>
          <w:sz w:val="28"/>
          <w:szCs w:val="28"/>
        </w:rPr>
        <w:t xml:space="preserve"> и </w:t>
      </w:r>
      <w:hyperlink w:anchor="P547" w:history="1">
        <w:r>
          <w:rPr>
            <w:rFonts w:ascii="Times New Roman" w:hAnsi="Times New Roman" w:cs="Times New Roman"/>
            <w:sz w:val="28"/>
            <w:szCs w:val="28"/>
          </w:rPr>
          <w:t>13 графы 2</w:t>
        </w:r>
      </w:hyperlink>
      <w:r>
        <w:rPr>
          <w:rFonts w:ascii="Times New Roman" w:hAnsi="Times New Roman" w:cs="Times New Roman"/>
          <w:sz w:val="28"/>
          <w:szCs w:val="28"/>
        </w:rPr>
        <w:t xml:space="preserve"> Перечня;</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на бумажном носителе по форме согласно </w:t>
      </w:r>
      <w:hyperlink r:id="rId12" w:history="1">
        <w:r>
          <w:rPr>
            <w:rFonts w:ascii="Times New Roman" w:hAnsi="Times New Roman" w:cs="Times New Roman"/>
            <w:sz w:val="28"/>
            <w:szCs w:val="28"/>
          </w:rPr>
          <w:t>приложению № 11</w:t>
        </w:r>
      </w:hyperlink>
      <w:r>
        <w:rPr>
          <w:rFonts w:ascii="Times New Roman" w:hAnsi="Times New Roman" w:cs="Times New Roman"/>
          <w:sz w:val="28"/>
          <w:szCs w:val="28"/>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3" w:history="1">
        <w:r>
          <w:rPr>
            <w:rFonts w:ascii="Times New Roman" w:hAnsi="Times New Roman" w:cs="Times New Roman"/>
            <w:sz w:val="28"/>
            <w:szCs w:val="28"/>
          </w:rPr>
          <w:t>ОКУД</w:t>
        </w:r>
      </w:hyperlink>
      <w:r>
        <w:rPr>
          <w:rFonts w:ascii="Times New Roman" w:hAnsi="Times New Roman" w:cs="Times New Roman"/>
          <w:sz w:val="28"/>
          <w:szCs w:val="28"/>
        </w:rPr>
        <w:t xml:space="preserve"> 0506105) - в отношении Сведений о бюджетном обязательстве, представленных на бумажном носителе.</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15.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Учетный номер бюджетного обязательства имеет следующую структуру, состоящую из девятнадцати разрядов:</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с 1 по 8 разряд - уникальный код получателя средств бюджета по реестру участников бюджетного процесса, а также юридических лиц, не являющихся участниками бюджетного процесса (далее - Сводный реестр);</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- 9 и 10 разряды - последние две цифры года, в котором бюджетное обязательство поставлено на учет;</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Одно поставленное на учет бюджетное обязательство может содержать несколько кодов классификации расходов.</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Если в одном муниципальном контракте (договоре) предусматривается наличие бюджетных обязательств по нескольким лицевым счетам получателя средств бюджета, то такие бюджетные обязательства учитываются раздельно с присвоением учетного номера каждому бюджетному обязательству.</w:t>
      </w:r>
    </w:p>
    <w:p w:rsidR="00A0673F" w:rsidRDefault="00A0673F">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 xml:space="preserve">16. В случае отрицательного результата проверки Сведений о бюджетном обязательстве на соответствие требованиям, предусмотренным: </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абзацами вторым – четвертым, шестым – восьмым части второй, части четвертой пункта 12 настоящего Порядка, орган, осуществляющий открытие и ведение лицевых счетов, в срок, установленный в </w:t>
      </w:r>
      <w:hyperlink w:anchor="P66" w:history="1">
        <w:r>
          <w:rPr>
            <w:rFonts w:ascii="Times New Roman" w:hAnsi="Times New Roman" w:cs="Times New Roman"/>
            <w:sz w:val="28"/>
            <w:szCs w:val="28"/>
          </w:rPr>
          <w:t>пункте 12</w:t>
        </w:r>
      </w:hyperlink>
      <w:r>
        <w:rPr>
          <w:rFonts w:ascii="Times New Roman" w:hAnsi="Times New Roman" w:cs="Times New Roman"/>
          <w:sz w:val="28"/>
          <w:szCs w:val="28"/>
        </w:rPr>
        <w:t xml:space="preserve"> настоящего Порядка, возвращает получателю средств бюджета представленные на бумажном носителе Сведения о бюджетном обязательстве с приложением Протокола (код формы по КФД 0531805) (далее - Протокол), направляет получателю средств бюджета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
    <w:p w:rsidR="00A0673F" w:rsidRDefault="00A0673F">
      <w:pPr>
        <w:pStyle w:val="ConsPlusNormal"/>
        <w:ind w:firstLine="709"/>
        <w:jc w:val="both"/>
        <w:rPr>
          <w:rFonts w:ascii="Times New Roman" w:hAnsi="Times New Roman" w:cs="Times New Roman"/>
          <w:sz w:val="28"/>
          <w:szCs w:val="28"/>
        </w:rPr>
      </w:pPr>
      <w:hyperlink w:anchor="P73" w:history="1">
        <w:r>
          <w:rPr>
            <w:rFonts w:ascii="Times New Roman" w:hAnsi="Times New Roman" w:cs="Times New Roman"/>
            <w:sz w:val="28"/>
            <w:szCs w:val="28"/>
          </w:rPr>
          <w:t xml:space="preserve"> абзацем пятым части второй</w:t>
        </w:r>
        <w:r>
          <w:t xml:space="preserve"> </w:t>
        </w:r>
      </w:hyperlink>
      <w:r>
        <w:rPr>
          <w:rFonts w:ascii="Times New Roman" w:hAnsi="Times New Roman" w:cs="Times New Roman"/>
          <w:sz w:val="28"/>
          <w:szCs w:val="28"/>
        </w:rPr>
        <w:t xml:space="preserve">пункта 12 настоящего Порядка, орган, осуществляющий открытие и ведение лицевых счетов, в срок, установленный в </w:t>
      </w:r>
      <w:hyperlink w:anchor="P66" w:history="1">
        <w:r>
          <w:rPr>
            <w:rFonts w:ascii="Times New Roman" w:hAnsi="Times New Roman" w:cs="Times New Roman"/>
            <w:sz w:val="28"/>
            <w:szCs w:val="28"/>
          </w:rPr>
          <w:t>пункте 12</w:t>
        </w:r>
      </w:hyperlink>
      <w:r>
        <w:rPr>
          <w:rFonts w:ascii="Times New Roman" w:hAnsi="Times New Roman" w:cs="Times New Roman"/>
          <w:sz w:val="28"/>
          <w:szCs w:val="28"/>
        </w:rPr>
        <w:t xml:space="preserve"> настоящего Порядка:</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в отношении Сведений о бюджетных обязательствах, возникших на основании документов-оснований, предусмотренных </w:t>
      </w:r>
      <w:hyperlink w:anchor="P456" w:history="1">
        <w:r>
          <w:rPr>
            <w:rFonts w:ascii="Times New Roman" w:hAnsi="Times New Roman" w:cs="Times New Roman"/>
            <w:sz w:val="28"/>
            <w:szCs w:val="28"/>
          </w:rPr>
          <w:t>пунктами 1</w:t>
        </w:r>
      </w:hyperlink>
      <w:r>
        <w:rPr>
          <w:rFonts w:ascii="Times New Roman" w:hAnsi="Times New Roman" w:cs="Times New Roman"/>
          <w:sz w:val="28"/>
          <w:szCs w:val="28"/>
        </w:rPr>
        <w:t xml:space="preserve">, </w:t>
      </w:r>
      <w:hyperlink w:anchor="P459" w:history="1">
        <w:r>
          <w:rPr>
            <w:rFonts w:ascii="Times New Roman" w:hAnsi="Times New Roman" w:cs="Times New Roman"/>
            <w:sz w:val="28"/>
            <w:szCs w:val="28"/>
          </w:rPr>
          <w:t>2</w:t>
        </w:r>
      </w:hyperlink>
      <w:r>
        <w:rPr>
          <w:rFonts w:ascii="Times New Roman" w:hAnsi="Times New Roman" w:cs="Times New Roman"/>
          <w:sz w:val="28"/>
          <w:szCs w:val="28"/>
        </w:rPr>
        <w:t xml:space="preserve"> и </w:t>
      </w:r>
      <w:hyperlink w:anchor="P547" w:history="1">
        <w:r>
          <w:rPr>
            <w:rFonts w:ascii="Times New Roman" w:hAnsi="Times New Roman" w:cs="Times New Roman"/>
            <w:sz w:val="28"/>
            <w:szCs w:val="28"/>
          </w:rPr>
          <w:t>13 графы 2</w:t>
        </w:r>
      </w:hyperlink>
      <w:r>
        <w:rPr>
          <w:rFonts w:ascii="Times New Roman" w:hAnsi="Times New Roman" w:cs="Times New Roman"/>
          <w:sz w:val="28"/>
          <w:szCs w:val="28"/>
        </w:rPr>
        <w:t xml:space="preserve"> Перечня, - возвращает получателю средств бюджета представленные на бумажном носителе Сведения о бюджетном обязательстве с приложением Протокола либо направляет получателю средств бюджета 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 которой не осуществляется постановка на учет бюджетного обязательства;</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в отношении Сведений о бюджетных обязательствах, возникших на основании документов-оснований, предусмотренных </w:t>
      </w:r>
      <w:hyperlink w:anchor="P462" w:history="1">
        <w:r>
          <w:rPr>
            <w:rFonts w:ascii="Times New Roman" w:hAnsi="Times New Roman" w:cs="Times New Roman"/>
            <w:sz w:val="28"/>
            <w:szCs w:val="28"/>
          </w:rPr>
          <w:t>пунктами 3</w:t>
        </w:r>
      </w:hyperlink>
      <w:r>
        <w:rPr>
          <w:rFonts w:ascii="Times New Roman" w:hAnsi="Times New Roman" w:cs="Times New Roman"/>
          <w:sz w:val="28"/>
          <w:szCs w:val="28"/>
        </w:rPr>
        <w:t xml:space="preserve"> - </w:t>
      </w:r>
      <w:hyperlink w:anchor="P542" w:history="1">
        <w:r>
          <w:rPr>
            <w:rFonts w:ascii="Times New Roman" w:hAnsi="Times New Roman" w:cs="Times New Roman"/>
            <w:sz w:val="28"/>
            <w:szCs w:val="28"/>
          </w:rPr>
          <w:t>12 графы 2</w:t>
        </w:r>
      </w:hyperlink>
      <w:r>
        <w:rPr>
          <w:rFonts w:ascii="Times New Roman" w:hAnsi="Times New Roman" w:cs="Times New Roman"/>
          <w:sz w:val="28"/>
          <w:szCs w:val="28"/>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получателю средств бюджета - Извещение о бюджетном обязательстве с указанием информации, предусмотренной </w:t>
      </w:r>
      <w:hyperlink w:anchor="P79" w:history="1">
        <w:r>
          <w:rPr>
            <w:rFonts w:ascii="Times New Roman" w:hAnsi="Times New Roman" w:cs="Times New Roman"/>
            <w:sz w:val="28"/>
            <w:szCs w:val="28"/>
          </w:rPr>
          <w:t>пунктом 14</w:t>
        </w:r>
      </w:hyperlink>
      <w:r>
        <w:rPr>
          <w:rFonts w:ascii="Times New Roman" w:hAnsi="Times New Roman" w:cs="Times New Roman"/>
          <w:sz w:val="28"/>
          <w:szCs w:val="28"/>
        </w:rPr>
        <w:t xml:space="preserve"> настоящего Порядка;</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получателю средств бюджета и главному распорядителю средств бюджета, в ведении которого находится получатель средств бюджета, </w:t>
      </w:r>
      <w:hyperlink r:id="rId14" w:history="1">
        <w:r>
          <w:rPr>
            <w:rFonts w:ascii="Times New Roman" w:hAnsi="Times New Roman" w:cs="Times New Roman"/>
            <w:sz w:val="28"/>
            <w:szCs w:val="28"/>
          </w:rPr>
          <w:t>Уведомление</w:t>
        </w:r>
      </w:hyperlink>
      <w:r>
        <w:rPr>
          <w:rFonts w:ascii="Times New Roman" w:hAnsi="Times New Roman" w:cs="Times New Roman"/>
          <w:sz w:val="28"/>
          <w:szCs w:val="28"/>
        </w:rPr>
        <w:t xml:space="preserve"> о превышении бюджетным обязательством неиспользованных лимитов бюджетных обязательств по форме согласно приложению № 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5" w:history="1">
        <w:r>
          <w:rPr>
            <w:rFonts w:ascii="Times New Roman" w:hAnsi="Times New Roman" w:cs="Times New Roman"/>
            <w:sz w:val="28"/>
            <w:szCs w:val="28"/>
          </w:rPr>
          <w:t>ОКУД</w:t>
        </w:r>
      </w:hyperlink>
      <w:r>
        <w:rPr>
          <w:rFonts w:ascii="Times New Roman" w:hAnsi="Times New Roman" w:cs="Times New Roman"/>
          <w:sz w:val="28"/>
          <w:szCs w:val="28"/>
        </w:rPr>
        <w:t xml:space="preserve"> 0506111).</w:t>
      </w:r>
      <w:bookmarkStart w:id="11" w:name="P97"/>
      <w:bookmarkEnd w:id="11"/>
      <w:r>
        <w:rPr>
          <w:rFonts w:ascii="Times New Roman" w:hAnsi="Times New Roman" w:cs="Times New Roman"/>
          <w:sz w:val="28"/>
          <w:szCs w:val="28"/>
        </w:rPr>
        <w:t xml:space="preserve"> </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17. Внесение изменений в бюджетное обязательство, возникшее на основании документов-оснований, предусмотренных </w:t>
      </w:r>
      <w:hyperlink w:anchor="P456" w:history="1">
        <w:r>
          <w:rPr>
            <w:rFonts w:ascii="Times New Roman" w:hAnsi="Times New Roman" w:cs="Times New Roman"/>
            <w:sz w:val="28"/>
            <w:szCs w:val="28"/>
          </w:rPr>
          <w:t>пунктами 1</w:t>
        </w:r>
      </w:hyperlink>
      <w:r>
        <w:rPr>
          <w:rFonts w:ascii="Times New Roman" w:hAnsi="Times New Roman" w:cs="Times New Roman"/>
          <w:sz w:val="28"/>
          <w:szCs w:val="28"/>
        </w:rPr>
        <w:t xml:space="preserve"> - </w:t>
      </w:r>
      <w:hyperlink w:anchor="P475" w:history="1">
        <w:r>
          <w:rPr>
            <w:rFonts w:ascii="Times New Roman" w:hAnsi="Times New Roman" w:cs="Times New Roman"/>
            <w:sz w:val="28"/>
            <w:szCs w:val="28"/>
          </w:rPr>
          <w:t>4</w:t>
        </w:r>
      </w:hyperlink>
      <w:r>
        <w:rPr>
          <w:rFonts w:ascii="Times New Roman" w:hAnsi="Times New Roman" w:cs="Times New Roman"/>
          <w:sz w:val="28"/>
          <w:szCs w:val="28"/>
        </w:rPr>
        <w:t xml:space="preserve">, </w:t>
      </w:r>
      <w:hyperlink w:anchor="P504" w:history="1">
        <w:r>
          <w:rPr>
            <w:rFonts w:ascii="Times New Roman" w:hAnsi="Times New Roman" w:cs="Times New Roman"/>
            <w:sz w:val="28"/>
            <w:szCs w:val="28"/>
          </w:rPr>
          <w:t>8</w:t>
        </w:r>
      </w:hyperlink>
      <w:r>
        <w:rPr>
          <w:rFonts w:ascii="Times New Roman" w:hAnsi="Times New Roman" w:cs="Times New Roman"/>
          <w:sz w:val="28"/>
          <w:szCs w:val="28"/>
        </w:rPr>
        <w:t xml:space="preserve">, </w:t>
      </w:r>
      <w:hyperlink w:anchor="P522" w:history="1">
        <w:r>
          <w:rPr>
            <w:rFonts w:ascii="Times New Roman" w:hAnsi="Times New Roman" w:cs="Times New Roman"/>
            <w:sz w:val="28"/>
            <w:szCs w:val="28"/>
          </w:rPr>
          <w:t>9</w:t>
        </w:r>
      </w:hyperlink>
      <w:r>
        <w:rPr>
          <w:rFonts w:ascii="Times New Roman" w:hAnsi="Times New Roman" w:cs="Times New Roman"/>
          <w:sz w:val="28"/>
          <w:szCs w:val="28"/>
        </w:rPr>
        <w:t xml:space="preserve">, </w:t>
      </w:r>
      <w:hyperlink w:anchor="P536" w:history="1">
        <w:r>
          <w:rPr>
            <w:rFonts w:ascii="Times New Roman" w:hAnsi="Times New Roman" w:cs="Times New Roman"/>
            <w:sz w:val="28"/>
            <w:szCs w:val="28"/>
          </w:rPr>
          <w:t>11</w:t>
        </w:r>
      </w:hyperlink>
      <w:r>
        <w:rPr>
          <w:rFonts w:ascii="Times New Roman" w:hAnsi="Times New Roman" w:cs="Times New Roman"/>
          <w:sz w:val="28"/>
          <w:szCs w:val="28"/>
        </w:rPr>
        <w:t xml:space="preserve"> и </w:t>
      </w:r>
      <w:hyperlink w:anchor="P542" w:history="1">
        <w:r>
          <w:rPr>
            <w:rFonts w:ascii="Times New Roman" w:hAnsi="Times New Roman" w:cs="Times New Roman"/>
            <w:sz w:val="28"/>
            <w:szCs w:val="28"/>
          </w:rPr>
          <w:t>12 графы 2</w:t>
        </w:r>
      </w:hyperlink>
      <w:r>
        <w:rPr>
          <w:rFonts w:ascii="Times New Roman" w:hAnsi="Times New Roman" w:cs="Times New Roman"/>
          <w:sz w:val="28"/>
          <w:szCs w:val="28"/>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w:anchor="P64" w:history="1">
        <w:r>
          <w:rPr>
            <w:rFonts w:ascii="Times New Roman" w:hAnsi="Times New Roman" w:cs="Times New Roman"/>
            <w:sz w:val="28"/>
            <w:szCs w:val="28"/>
          </w:rPr>
          <w:t>пунктом 10</w:t>
        </w:r>
      </w:hyperlink>
      <w:r>
        <w:rPr>
          <w:rFonts w:ascii="Times New Roman" w:hAnsi="Times New Roman" w:cs="Times New Roman"/>
          <w:sz w:val="28"/>
          <w:szCs w:val="28"/>
        </w:rPr>
        <w:t xml:space="preserve"> настоящего Порядка.</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Получатель средств бюджета в текущем финансовом году вносит в бюджетное обязательство, указанное в части первой настоящего пункта, изменения в части графика оплаты бюджетного обязательства, а также, при необходимости, в части кодов бюджетной классификации расходов. </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абзацем пятым части второй пункта 12 настоящего Порядка, орган, осуществляющий открытие и ведение лицевых счетов, направляет для сведения главному распорядителю средств районного бюджета, в ведении которого находится получатель средств районного бюджета, получателю средств районного бюджета Уведомление о превышении бюджетным обязательством неиспользованных лимитов бюджетных обязательств не позднее следующего рабочего дня после дня совершения операций, предусмотренных настоящим пунктом.</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18. В случае ликвидации, реорганизации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в части аннулирования соответствующих неисполненных бюджетных обязательств.</w:t>
      </w:r>
    </w:p>
    <w:p w:rsidR="00A0673F" w:rsidRDefault="00A0673F">
      <w:pPr>
        <w:pStyle w:val="ConsPlusNormal"/>
        <w:jc w:val="both"/>
        <w:rPr>
          <w:rFonts w:ascii="Times New Roman" w:hAnsi="Times New Roman" w:cs="Times New Roman"/>
          <w:sz w:val="28"/>
          <w:szCs w:val="28"/>
        </w:rPr>
      </w:pPr>
    </w:p>
    <w:p w:rsidR="00A0673F" w:rsidRDefault="00A0673F">
      <w:pPr>
        <w:pStyle w:val="ConsPlusNormal"/>
        <w:jc w:val="center"/>
        <w:outlineLvl w:val="1"/>
        <w:rPr>
          <w:rFonts w:ascii="Times New Roman" w:hAnsi="Times New Roman" w:cs="Times New Roman"/>
          <w:b/>
          <w:bCs/>
          <w:sz w:val="28"/>
          <w:szCs w:val="28"/>
        </w:rPr>
      </w:pPr>
      <w:r>
        <w:rPr>
          <w:rFonts w:ascii="Times New Roman" w:hAnsi="Times New Roman" w:cs="Times New Roman"/>
          <w:b/>
          <w:bCs/>
          <w:sz w:val="28"/>
          <w:szCs w:val="28"/>
        </w:rPr>
        <w:t>III. Особенности учета бюджетных обязательств</w:t>
      </w:r>
    </w:p>
    <w:p w:rsidR="00A0673F" w:rsidRDefault="00A0673F">
      <w:pPr>
        <w:pStyle w:val="ConsPlusNormal"/>
        <w:jc w:val="center"/>
        <w:rPr>
          <w:rFonts w:ascii="Times New Roman" w:hAnsi="Times New Roman" w:cs="Times New Roman"/>
          <w:b/>
          <w:bCs/>
          <w:sz w:val="28"/>
          <w:szCs w:val="28"/>
        </w:rPr>
      </w:pPr>
      <w:r>
        <w:rPr>
          <w:rFonts w:ascii="Times New Roman" w:hAnsi="Times New Roman" w:cs="Times New Roman"/>
          <w:b/>
          <w:bCs/>
          <w:sz w:val="28"/>
          <w:szCs w:val="28"/>
        </w:rPr>
        <w:t>по исполнительным документам и решениям налоговых органов</w:t>
      </w:r>
    </w:p>
    <w:p w:rsidR="00A0673F" w:rsidRDefault="00A0673F">
      <w:pPr>
        <w:pStyle w:val="ConsPlusNormal"/>
        <w:jc w:val="both"/>
        <w:rPr>
          <w:rFonts w:ascii="Times New Roman" w:hAnsi="Times New Roman" w:cs="Times New Roman"/>
          <w:sz w:val="28"/>
          <w:szCs w:val="28"/>
        </w:rPr>
      </w:pP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19. Сведения о бюджетном обязательстве, возникшем в соответствии с документами-основаниями, предусмотренными </w:t>
      </w:r>
      <w:hyperlink w:anchor="P536" w:history="1">
        <w:r>
          <w:rPr>
            <w:rFonts w:ascii="Times New Roman" w:hAnsi="Times New Roman" w:cs="Times New Roman"/>
            <w:sz w:val="28"/>
            <w:szCs w:val="28"/>
          </w:rPr>
          <w:t>пунктами 11</w:t>
        </w:r>
      </w:hyperlink>
      <w:r>
        <w:rPr>
          <w:rFonts w:ascii="Times New Roman" w:hAnsi="Times New Roman" w:cs="Times New Roman"/>
          <w:sz w:val="28"/>
          <w:szCs w:val="28"/>
        </w:rPr>
        <w:t xml:space="preserve"> и </w:t>
      </w:r>
      <w:hyperlink w:anchor="P542" w:history="1">
        <w:r>
          <w:rPr>
            <w:rFonts w:ascii="Times New Roman" w:hAnsi="Times New Roman" w:cs="Times New Roman"/>
            <w:sz w:val="28"/>
            <w:szCs w:val="28"/>
          </w:rPr>
          <w:t>12 графы 2</w:t>
        </w:r>
      </w:hyperlink>
      <w:r>
        <w:rPr>
          <w:rFonts w:ascii="Times New Roman" w:hAnsi="Times New Roman" w:cs="Times New Roman"/>
          <w:sz w:val="28"/>
          <w:szCs w:val="28"/>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по исполнению исполнительного документа, решения налогового органа.</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20. 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21.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22. В случае ликвидации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
    <w:p w:rsidR="00A0673F" w:rsidRDefault="00A0673F">
      <w:pPr>
        <w:pStyle w:val="ConsPlusNormal"/>
        <w:jc w:val="both"/>
        <w:rPr>
          <w:rFonts w:ascii="Times New Roman" w:hAnsi="Times New Roman" w:cs="Times New Roman"/>
          <w:sz w:val="28"/>
          <w:szCs w:val="28"/>
        </w:rPr>
      </w:pPr>
    </w:p>
    <w:p w:rsidR="00A0673F" w:rsidRDefault="00A0673F">
      <w:pPr>
        <w:pStyle w:val="ConsPlusNormal"/>
        <w:jc w:val="center"/>
        <w:outlineLvl w:val="1"/>
        <w:rPr>
          <w:rFonts w:ascii="Times New Roman" w:hAnsi="Times New Roman" w:cs="Times New Roman"/>
          <w:b/>
          <w:bCs/>
          <w:sz w:val="28"/>
          <w:szCs w:val="28"/>
        </w:rPr>
      </w:pPr>
      <w:r>
        <w:rPr>
          <w:rFonts w:ascii="Times New Roman" w:hAnsi="Times New Roman" w:cs="Times New Roman"/>
          <w:sz w:val="28"/>
          <w:szCs w:val="28"/>
        </w:rPr>
        <w:t>V. Порядок учета денежных обязательств</w:t>
      </w:r>
    </w:p>
    <w:p w:rsidR="00A0673F" w:rsidRDefault="00A0673F">
      <w:pPr>
        <w:pStyle w:val="ConsPlusNormal"/>
        <w:jc w:val="both"/>
        <w:rPr>
          <w:rFonts w:ascii="Times New Roman" w:hAnsi="Times New Roman" w:cs="Times New Roman"/>
          <w:sz w:val="28"/>
          <w:szCs w:val="28"/>
        </w:rPr>
      </w:pP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23.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w:anchor="P451" w:history="1">
        <w:r>
          <w:rPr>
            <w:rFonts w:ascii="Times New Roman" w:hAnsi="Times New Roman" w:cs="Times New Roman"/>
            <w:sz w:val="28"/>
            <w:szCs w:val="28"/>
          </w:rPr>
          <w:t>графе 3</w:t>
        </w:r>
      </w:hyperlink>
      <w:r>
        <w:rPr>
          <w:rFonts w:ascii="Times New Roman" w:hAnsi="Times New Roman" w:cs="Times New Roman"/>
          <w:sz w:val="28"/>
          <w:szCs w:val="28"/>
        </w:rPr>
        <w:t xml:space="preserve"> Перечня, на сумму, указанную в документе, в соответствии с которым возникло денежное обязательство.</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24. Сведения о денежных обязательствах, включая авансовые платежи, предусмотренные условиями муниципального контракта, договора, указанных соответственно в </w:t>
      </w:r>
      <w:hyperlink w:anchor="P462" w:history="1">
        <w:r>
          <w:rPr>
            <w:rFonts w:ascii="Times New Roman" w:hAnsi="Times New Roman" w:cs="Times New Roman"/>
            <w:sz w:val="28"/>
            <w:szCs w:val="28"/>
          </w:rPr>
          <w:t>пунктах 3</w:t>
        </w:r>
      </w:hyperlink>
      <w:r>
        <w:rPr>
          <w:rFonts w:ascii="Times New Roman" w:hAnsi="Times New Roman" w:cs="Times New Roman"/>
          <w:sz w:val="28"/>
          <w:szCs w:val="28"/>
        </w:rPr>
        <w:t xml:space="preserve"> и </w:t>
      </w:r>
      <w:hyperlink w:anchor="P475" w:history="1">
        <w:r>
          <w:rPr>
            <w:rFonts w:ascii="Times New Roman" w:hAnsi="Times New Roman" w:cs="Times New Roman"/>
            <w:sz w:val="28"/>
            <w:szCs w:val="28"/>
          </w:rPr>
          <w:t>4 графы 2</w:t>
        </w:r>
      </w:hyperlink>
      <w:r>
        <w:rPr>
          <w:rFonts w:ascii="Times New Roman" w:hAnsi="Times New Roman" w:cs="Times New Roman"/>
          <w:sz w:val="28"/>
          <w:szCs w:val="28"/>
        </w:rPr>
        <w:t xml:space="preserve"> Перечня, формируются:</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получателем средств бюджета не позднее трех рабочих дней со дня возникновения денежного обязательства в случае:</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исполнения денежного обязательства неоднократно (в том числе с учетом ранее произведенных авансовых платежей);</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муниципального контракта (договора), в соответствии с условиями муниципального контракта (договора);</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 оплаты денежных обязательств получателей средств бюджета Курташкинского сельского поселения Атюрьевского муниципального района Республики Мордовия и администраторов источников финансирования дефицита бюджета Курташкинского сельского поселения Атюрьевского муниципального района Республики Мордовия, утвержденного администрацией Курташкинского сельского поселения Атюрьевского муниципального района Республики Мордовия (далее - Порядок санкционирования);</w:t>
      </w:r>
      <w:bookmarkStart w:id="12" w:name="P119"/>
      <w:bookmarkEnd w:id="12"/>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 платежных документов.</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25. В случае если в рамках бюджетного обязательства, возникшего по муниципальному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муниципального контракта (договора), постановка на учет денежного обязательства на перечисление последующих платежей по такому бюджетному обязательству не осуществляется.</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26. 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P462" w:history="1">
        <w:r>
          <w:rPr>
            <w:rFonts w:ascii="Times New Roman" w:hAnsi="Times New Roman" w:cs="Times New Roman"/>
            <w:sz w:val="28"/>
            <w:szCs w:val="28"/>
          </w:rPr>
          <w:t>пункте 3 графы 2</w:t>
        </w:r>
      </w:hyperlink>
      <w:r>
        <w:rPr>
          <w:rFonts w:ascii="Times New Roman" w:hAnsi="Times New Roman" w:cs="Times New Roman"/>
          <w:sz w:val="28"/>
          <w:szCs w:val="28"/>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bookmarkStart w:id="13" w:name="P124"/>
      <w:bookmarkEnd w:id="13"/>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27. Орган, осуществляющий открытие и ведение лицевых счетов, не позднее следующего рабочего дня со дня представления получателем средств бюджета Сведений о денежном обязательстве осуществляет их проверку на соответствие указанной в них информации:</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информации по соответствующему бюджетному обязательству, учтенному на соответствующем лицевом счете получателя средств бюджета;</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составу информации, подлежащей включению в </w:t>
      </w:r>
      <w:hyperlink w:anchor="P298" w:history="1">
        <w:r>
          <w:rPr>
            <w:rFonts w:ascii="Times New Roman" w:hAnsi="Times New Roman" w:cs="Times New Roman"/>
            <w:sz w:val="28"/>
            <w:szCs w:val="28"/>
          </w:rPr>
          <w:t>Сведения</w:t>
        </w:r>
      </w:hyperlink>
      <w:r>
        <w:rPr>
          <w:rFonts w:ascii="Times New Roman" w:hAnsi="Times New Roman" w:cs="Times New Roman"/>
          <w:sz w:val="28"/>
          <w:szCs w:val="28"/>
        </w:rPr>
        <w:t xml:space="preserve"> о денежном обязательстве в соответствии с приложением № 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 соблюдением правил формирования Сведений о денежном обязательстве, установленных настоящей главой;</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w:anchor="P462" w:history="1">
        <w:r>
          <w:rPr>
            <w:rFonts w:ascii="Times New Roman" w:hAnsi="Times New Roman" w:cs="Times New Roman"/>
            <w:sz w:val="28"/>
            <w:szCs w:val="28"/>
          </w:rPr>
          <w:t>пункте 3 графы 2</w:t>
        </w:r>
      </w:hyperlink>
      <w:r>
        <w:rPr>
          <w:rFonts w:ascii="Times New Roman" w:hAnsi="Times New Roman" w:cs="Times New Roman"/>
          <w:sz w:val="28"/>
          <w:szCs w:val="28"/>
        </w:rPr>
        <w:t xml:space="preserve"> Перечня, за исключением документов-оснований, представление которых в орган, осуществляющий открытие и ведение лицевых счетов, в соответствии с Порядком санкционирования не требуется.</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28.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w:anchor="P124" w:history="1">
        <w:r>
          <w:rPr>
            <w:rFonts w:ascii="Times New Roman" w:hAnsi="Times New Roman" w:cs="Times New Roman"/>
            <w:sz w:val="28"/>
            <w:szCs w:val="28"/>
          </w:rPr>
          <w:t>пунктом 27</w:t>
        </w:r>
      </w:hyperlink>
      <w:r>
        <w:rPr>
          <w:rFonts w:ascii="Times New Roman" w:hAnsi="Times New Roman" w:cs="Times New Roman"/>
          <w:sz w:val="28"/>
          <w:szCs w:val="28"/>
        </w:rPr>
        <w:t xml:space="preserve"> настоящего Порядка, также осуществляется проверка Сведений о денежном обязательстве на:</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соответствие формы Сведений о денежном обязательстве форме </w:t>
      </w:r>
      <w:hyperlink w:anchor="P298" w:history="1">
        <w:r>
          <w:rPr>
            <w:rFonts w:ascii="Times New Roman" w:hAnsi="Times New Roman" w:cs="Times New Roman"/>
            <w:sz w:val="28"/>
            <w:szCs w:val="28"/>
          </w:rPr>
          <w:t>Сведений</w:t>
        </w:r>
      </w:hyperlink>
      <w:r>
        <w:rPr>
          <w:rFonts w:ascii="Times New Roman" w:hAnsi="Times New Roman" w:cs="Times New Roman"/>
          <w:sz w:val="28"/>
          <w:szCs w:val="28"/>
        </w:rPr>
        <w:t xml:space="preserve"> о денежном обязательстве согласно приложению № 2 к настоящему Порядку;</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29. 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в информационной системе извещение о постановке на учет (изменении) денежного обязательства, содержащее сведения о дате постановки на учет (изменения) денежного обязательства (код формы по </w:t>
      </w:r>
      <w:hyperlink r:id="rId16" w:history="1">
        <w:r>
          <w:rPr>
            <w:rFonts w:ascii="Times New Roman" w:hAnsi="Times New Roman" w:cs="Times New Roman"/>
            <w:sz w:val="28"/>
            <w:szCs w:val="28"/>
          </w:rPr>
          <w:t>ОКУД</w:t>
        </w:r>
      </w:hyperlink>
      <w:r>
        <w:rPr>
          <w:rFonts w:ascii="Times New Roman" w:hAnsi="Times New Roman" w:cs="Times New Roman"/>
          <w:sz w:val="28"/>
          <w:szCs w:val="28"/>
        </w:rPr>
        <w:t xml:space="preserve"> 0506106) (далее - Извещение о денежном обязательстве).</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Извещение о денежном обязательстве направляется получателю средств бюджета органом, осуществляющим открытие и ведение лицевых счетов:</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на бумажном носителе по форме согласно </w:t>
      </w:r>
      <w:hyperlink r:id="rId17" w:history="1">
        <w:r>
          <w:rPr>
            <w:rFonts w:ascii="Times New Roman" w:hAnsi="Times New Roman" w:cs="Times New Roman"/>
            <w:sz w:val="28"/>
            <w:szCs w:val="28"/>
          </w:rPr>
          <w:t>приложению № 12</w:t>
        </w:r>
      </w:hyperlink>
      <w:r>
        <w:rPr>
          <w:rFonts w:ascii="Times New Roman" w:hAnsi="Times New Roman" w:cs="Times New Roman"/>
          <w:sz w:val="28"/>
          <w:szCs w:val="28"/>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8" w:history="1">
        <w:r>
          <w:rPr>
            <w:rFonts w:ascii="Times New Roman" w:hAnsi="Times New Roman" w:cs="Times New Roman"/>
            <w:sz w:val="28"/>
            <w:szCs w:val="28"/>
          </w:rPr>
          <w:t>ОКУД</w:t>
        </w:r>
      </w:hyperlink>
      <w:r>
        <w:rPr>
          <w:rFonts w:ascii="Times New Roman" w:hAnsi="Times New Roman" w:cs="Times New Roman"/>
          <w:sz w:val="28"/>
          <w:szCs w:val="28"/>
        </w:rPr>
        <w:t xml:space="preserve"> 0506106) - в отношении Сведений о денежном обязательстве, представленных на бумажном носителе.</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Учетный номер денежного обязательства имеет следующую структуру, состоящую из двадцати двух разрядов:</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с 1 по 19 разряд - учетный номер соответствующего бюджетного обязательства;</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с 20 по 22 разряд - порядковый номер денежного обязательства.</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30.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P124" w:history="1">
        <w:r>
          <w:rPr>
            <w:rFonts w:ascii="Times New Roman" w:hAnsi="Times New Roman" w:cs="Times New Roman"/>
            <w:sz w:val="28"/>
            <w:szCs w:val="28"/>
          </w:rPr>
          <w:t>пункте 27</w:t>
        </w:r>
      </w:hyperlink>
      <w:r>
        <w:rPr>
          <w:rFonts w:ascii="Times New Roman" w:hAnsi="Times New Roman" w:cs="Times New Roman"/>
          <w:sz w:val="28"/>
          <w:szCs w:val="28"/>
        </w:rPr>
        <w:t xml:space="preserve"> настоящего Порядка:</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возвращает получателю средств бюджета представленные на бумажном носителе Сведения о денежном обязательстве с приложением Протокола;</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направляет получателю средств бюджета Протокол в электронном виде, если Сведения о денежном обязательстве представлялись в форме электронного документа.</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В Протоколе указывается причина возврата без исполнения Сведений о денежном обязательстве.</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31.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w:anchor="P97" w:history="1">
        <w:r>
          <w:rPr>
            <w:rFonts w:ascii="Times New Roman" w:hAnsi="Times New Roman" w:cs="Times New Roman"/>
            <w:sz w:val="28"/>
            <w:szCs w:val="28"/>
          </w:rPr>
          <w:t>пункте 17</w:t>
        </w:r>
      </w:hyperlink>
      <w:r>
        <w:rPr>
          <w:rFonts w:ascii="Times New Roman" w:hAnsi="Times New Roman" w:cs="Times New Roman"/>
          <w:sz w:val="28"/>
          <w:szCs w:val="28"/>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A0673F" w:rsidRDefault="00A0673F">
      <w:pPr>
        <w:pStyle w:val="ConsPlusNormal"/>
        <w:jc w:val="both"/>
        <w:rPr>
          <w:rFonts w:ascii="Times New Roman" w:hAnsi="Times New Roman" w:cs="Times New Roman"/>
          <w:sz w:val="28"/>
          <w:szCs w:val="28"/>
        </w:rPr>
      </w:pPr>
    </w:p>
    <w:p w:rsidR="00A0673F" w:rsidRDefault="00A0673F">
      <w:pPr>
        <w:pStyle w:val="ConsPlusNormal"/>
        <w:jc w:val="center"/>
        <w:outlineLvl w:val="1"/>
        <w:rPr>
          <w:rFonts w:ascii="Times New Roman" w:hAnsi="Times New Roman" w:cs="Times New Roman"/>
          <w:b/>
          <w:bCs/>
          <w:sz w:val="28"/>
          <w:szCs w:val="28"/>
        </w:rPr>
      </w:pPr>
      <w:r>
        <w:rPr>
          <w:rFonts w:ascii="Times New Roman" w:hAnsi="Times New Roman" w:cs="Times New Roman"/>
          <w:b/>
          <w:bCs/>
          <w:sz w:val="28"/>
          <w:szCs w:val="28"/>
        </w:rPr>
        <w:t>VI. Представление информации о бюджетных и денежных</w:t>
      </w:r>
    </w:p>
    <w:p w:rsidR="00A0673F" w:rsidRDefault="00A0673F">
      <w:pPr>
        <w:pStyle w:val="ConsPlusNormal"/>
        <w:jc w:val="center"/>
        <w:rPr>
          <w:rFonts w:ascii="Times New Roman" w:hAnsi="Times New Roman" w:cs="Times New Roman"/>
          <w:b/>
          <w:bCs/>
          <w:sz w:val="28"/>
          <w:szCs w:val="28"/>
        </w:rPr>
      </w:pPr>
      <w:r>
        <w:rPr>
          <w:rFonts w:ascii="Times New Roman" w:hAnsi="Times New Roman" w:cs="Times New Roman"/>
          <w:b/>
          <w:bCs/>
          <w:sz w:val="28"/>
          <w:szCs w:val="28"/>
        </w:rPr>
        <w:t>обязательствах, учтенных в органе, осуществляющем открытие</w:t>
      </w:r>
    </w:p>
    <w:p w:rsidR="00A0673F" w:rsidRDefault="00A0673F">
      <w:pPr>
        <w:pStyle w:val="ConsPlusNormal"/>
        <w:jc w:val="center"/>
        <w:rPr>
          <w:rFonts w:ascii="Times New Roman" w:hAnsi="Times New Roman" w:cs="Times New Roman"/>
          <w:b/>
          <w:bCs/>
          <w:sz w:val="28"/>
          <w:szCs w:val="28"/>
        </w:rPr>
      </w:pPr>
      <w:r>
        <w:rPr>
          <w:rFonts w:ascii="Times New Roman" w:hAnsi="Times New Roman" w:cs="Times New Roman"/>
          <w:b/>
          <w:bCs/>
          <w:sz w:val="28"/>
          <w:szCs w:val="28"/>
        </w:rPr>
        <w:t>и ведение лицевых счетов</w:t>
      </w:r>
    </w:p>
    <w:p w:rsidR="00A0673F" w:rsidRDefault="00A0673F">
      <w:pPr>
        <w:pStyle w:val="ConsPlusNormal"/>
        <w:jc w:val="both"/>
        <w:rPr>
          <w:rFonts w:ascii="Times New Roman" w:hAnsi="Times New Roman" w:cs="Times New Roman"/>
          <w:b/>
          <w:bCs/>
          <w:sz w:val="28"/>
          <w:szCs w:val="28"/>
        </w:rPr>
      </w:pP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32.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33 настоящего Порядка.</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33. Информация о бюджетных и денежных обязательствах предоставляется по запросам:</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Администрации Курташкинского</w:t>
      </w:r>
      <w:bookmarkStart w:id="14" w:name="_GoBack"/>
      <w:bookmarkEnd w:id="14"/>
      <w:r>
        <w:rPr>
          <w:rFonts w:ascii="Times New Roman" w:hAnsi="Times New Roman" w:cs="Times New Roman"/>
          <w:sz w:val="28"/>
          <w:szCs w:val="28"/>
        </w:rPr>
        <w:t xml:space="preserve"> сельского поселения Атюрьевского муниципального района Республики Мордовия - по всем бюджетным и денежным обязательствам;</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главным распорядителям средств бюджета - в части бюджетных и денежных обязательств подведомственных им получателей средств бюджета;</w:t>
      </w:r>
    </w:p>
    <w:p w:rsidR="00A0673F" w:rsidRDefault="00A0673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получателям средств бюджета - в части бюджетных и денежных обязательств соответствующего получателя средств бюджета.</w:t>
      </w:r>
    </w:p>
    <w:p w:rsidR="00A0673F" w:rsidRDefault="00A0673F">
      <w:pPr>
        <w:pStyle w:val="ConsPlusNormal"/>
        <w:ind w:firstLine="709"/>
        <w:jc w:val="both"/>
      </w:pPr>
      <w:r>
        <w:rPr>
          <w:rFonts w:ascii="Times New Roman" w:hAnsi="Times New Roman" w:cs="Times New Roman"/>
          <w:sz w:val="28"/>
          <w:szCs w:val="28"/>
        </w:rPr>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 о защите государственной тайну.</w:t>
      </w:r>
    </w:p>
    <w:p w:rsidR="00A0673F" w:rsidRDefault="00A0673F"/>
    <w:p w:rsidR="00A0673F" w:rsidRDefault="00A0673F"/>
    <w:p w:rsidR="00A0673F" w:rsidRDefault="00A0673F"/>
    <w:p w:rsidR="00A0673F" w:rsidRDefault="00A0673F"/>
    <w:p w:rsidR="00A0673F" w:rsidRDefault="00A0673F"/>
    <w:p w:rsidR="00A0673F" w:rsidRDefault="00A0673F">
      <w:pPr>
        <w:pStyle w:val="ConsPlusNormal"/>
        <w:jc w:val="right"/>
        <w:outlineLvl w:val="1"/>
        <w:rPr>
          <w:rFonts w:ascii="Times New Roman" w:hAnsi="Times New Roman" w:cs="Times New Roman"/>
          <w:sz w:val="24"/>
          <w:szCs w:val="24"/>
        </w:rPr>
      </w:pPr>
    </w:p>
    <w:p w:rsidR="00A0673F" w:rsidRDefault="00A0673F">
      <w:pPr>
        <w:pStyle w:val="ConsPlusNormal"/>
        <w:jc w:val="right"/>
        <w:outlineLvl w:val="1"/>
        <w:rPr>
          <w:rFonts w:ascii="Times New Roman" w:hAnsi="Times New Roman" w:cs="Times New Roman"/>
          <w:sz w:val="24"/>
          <w:szCs w:val="24"/>
        </w:rPr>
      </w:pPr>
    </w:p>
    <w:p w:rsidR="00A0673F" w:rsidRDefault="00A0673F">
      <w:pPr>
        <w:pStyle w:val="ConsPlusNormal"/>
        <w:jc w:val="right"/>
        <w:outlineLvl w:val="1"/>
        <w:rPr>
          <w:rFonts w:ascii="Times New Roman" w:hAnsi="Times New Roman" w:cs="Times New Roman"/>
          <w:sz w:val="24"/>
          <w:szCs w:val="24"/>
        </w:rPr>
      </w:pPr>
    </w:p>
    <w:p w:rsidR="00A0673F" w:rsidRDefault="00A0673F">
      <w:pPr>
        <w:pStyle w:val="ConsPlusNormal"/>
        <w:jc w:val="right"/>
        <w:outlineLvl w:val="1"/>
        <w:rPr>
          <w:rFonts w:ascii="Times New Roman" w:hAnsi="Times New Roman" w:cs="Times New Roman"/>
          <w:sz w:val="24"/>
          <w:szCs w:val="24"/>
        </w:rPr>
      </w:pPr>
    </w:p>
    <w:p w:rsidR="00A0673F" w:rsidRDefault="00A0673F">
      <w:pPr>
        <w:pStyle w:val="ConsPlusNormal"/>
        <w:jc w:val="right"/>
        <w:outlineLvl w:val="1"/>
        <w:rPr>
          <w:rFonts w:ascii="Times New Roman" w:hAnsi="Times New Roman" w:cs="Times New Roman"/>
          <w:sz w:val="24"/>
          <w:szCs w:val="24"/>
        </w:rPr>
      </w:pPr>
    </w:p>
    <w:p w:rsidR="00A0673F" w:rsidRDefault="00A0673F">
      <w:pPr>
        <w:pStyle w:val="ConsPlusNormal"/>
        <w:jc w:val="right"/>
        <w:outlineLvl w:val="1"/>
        <w:rPr>
          <w:rFonts w:ascii="Times New Roman" w:hAnsi="Times New Roman" w:cs="Times New Roman"/>
          <w:sz w:val="24"/>
          <w:szCs w:val="24"/>
        </w:rPr>
      </w:pPr>
    </w:p>
    <w:p w:rsidR="00A0673F" w:rsidRDefault="00A0673F">
      <w:pPr>
        <w:pStyle w:val="ConsPlusNormal"/>
        <w:jc w:val="right"/>
        <w:outlineLvl w:val="1"/>
        <w:rPr>
          <w:rFonts w:ascii="Times New Roman" w:hAnsi="Times New Roman" w:cs="Times New Roman"/>
          <w:sz w:val="24"/>
          <w:szCs w:val="24"/>
        </w:rPr>
      </w:pPr>
    </w:p>
    <w:p w:rsidR="00A0673F" w:rsidRDefault="00A0673F">
      <w:pPr>
        <w:pStyle w:val="ConsPlusNormal"/>
        <w:jc w:val="right"/>
        <w:outlineLvl w:val="1"/>
        <w:rPr>
          <w:rFonts w:ascii="Times New Roman" w:hAnsi="Times New Roman" w:cs="Times New Roman"/>
          <w:sz w:val="24"/>
          <w:szCs w:val="24"/>
        </w:rPr>
      </w:pPr>
    </w:p>
    <w:p w:rsidR="00A0673F" w:rsidRDefault="00A0673F">
      <w:pPr>
        <w:pStyle w:val="ConsPlusNormal"/>
        <w:jc w:val="right"/>
        <w:outlineLvl w:val="1"/>
        <w:rPr>
          <w:rFonts w:ascii="Times New Roman" w:hAnsi="Times New Roman" w:cs="Times New Roman"/>
          <w:sz w:val="24"/>
          <w:szCs w:val="24"/>
        </w:rPr>
      </w:pPr>
    </w:p>
    <w:p w:rsidR="00A0673F" w:rsidRDefault="00A0673F">
      <w:pPr>
        <w:pStyle w:val="ConsPlusNormal"/>
        <w:jc w:val="right"/>
        <w:outlineLvl w:val="1"/>
        <w:rPr>
          <w:rFonts w:ascii="Times New Roman" w:hAnsi="Times New Roman" w:cs="Times New Roman"/>
          <w:sz w:val="24"/>
          <w:szCs w:val="24"/>
        </w:rPr>
      </w:pPr>
    </w:p>
    <w:p w:rsidR="00A0673F" w:rsidRDefault="00A0673F">
      <w:pPr>
        <w:pStyle w:val="ConsPlusNormal"/>
        <w:jc w:val="right"/>
        <w:outlineLvl w:val="1"/>
        <w:rPr>
          <w:rFonts w:ascii="Times New Roman" w:hAnsi="Times New Roman" w:cs="Times New Roman"/>
          <w:sz w:val="24"/>
          <w:szCs w:val="24"/>
        </w:rPr>
      </w:pPr>
    </w:p>
    <w:p w:rsidR="00A0673F" w:rsidRDefault="00A0673F">
      <w:pPr>
        <w:pStyle w:val="ConsPlusNormal"/>
        <w:jc w:val="right"/>
        <w:outlineLvl w:val="1"/>
        <w:rPr>
          <w:rFonts w:ascii="Times New Roman" w:hAnsi="Times New Roman" w:cs="Times New Roman"/>
          <w:sz w:val="24"/>
          <w:szCs w:val="24"/>
        </w:rPr>
      </w:pPr>
    </w:p>
    <w:p w:rsidR="00A0673F" w:rsidRDefault="00A0673F">
      <w:pPr>
        <w:pStyle w:val="ConsPlusNormal"/>
        <w:jc w:val="right"/>
        <w:outlineLvl w:val="1"/>
        <w:rPr>
          <w:rFonts w:ascii="Times New Roman" w:hAnsi="Times New Roman" w:cs="Times New Roman"/>
          <w:sz w:val="24"/>
          <w:szCs w:val="24"/>
        </w:rPr>
      </w:pPr>
    </w:p>
    <w:p w:rsidR="00A0673F" w:rsidRDefault="00A0673F">
      <w:pPr>
        <w:pStyle w:val="ConsPlusNormal"/>
        <w:jc w:val="right"/>
        <w:outlineLvl w:val="1"/>
        <w:rPr>
          <w:rFonts w:ascii="Times New Roman" w:hAnsi="Times New Roman" w:cs="Times New Roman"/>
          <w:sz w:val="24"/>
          <w:szCs w:val="24"/>
        </w:rPr>
      </w:pPr>
    </w:p>
    <w:p w:rsidR="00A0673F" w:rsidRDefault="00A0673F">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Приложение 3</w:t>
      </w:r>
    </w:p>
    <w:p w:rsidR="00A0673F" w:rsidRDefault="00A0673F">
      <w:pPr>
        <w:pStyle w:val="ConsPlusNormal"/>
        <w:jc w:val="right"/>
        <w:rPr>
          <w:rFonts w:ascii="Times New Roman" w:hAnsi="Times New Roman" w:cs="Times New Roman"/>
          <w:sz w:val="24"/>
          <w:szCs w:val="24"/>
        </w:rPr>
      </w:pPr>
      <w:r>
        <w:rPr>
          <w:rFonts w:ascii="Times New Roman" w:hAnsi="Times New Roman" w:cs="Times New Roman"/>
          <w:sz w:val="24"/>
          <w:szCs w:val="24"/>
        </w:rPr>
        <w:t>к Порядку учета бюджетных</w:t>
      </w:r>
    </w:p>
    <w:p w:rsidR="00A0673F" w:rsidRDefault="00A0673F">
      <w:pPr>
        <w:pStyle w:val="ConsPlusNormal"/>
        <w:jc w:val="right"/>
        <w:rPr>
          <w:rFonts w:ascii="Times New Roman" w:hAnsi="Times New Roman" w:cs="Times New Roman"/>
          <w:sz w:val="24"/>
          <w:szCs w:val="24"/>
        </w:rPr>
      </w:pPr>
      <w:r>
        <w:rPr>
          <w:rFonts w:ascii="Times New Roman" w:hAnsi="Times New Roman" w:cs="Times New Roman"/>
          <w:sz w:val="24"/>
          <w:szCs w:val="24"/>
        </w:rPr>
        <w:t>и денежных обязательств получателей средств бюджета</w:t>
      </w:r>
    </w:p>
    <w:p w:rsidR="00A0673F" w:rsidRDefault="00A0673F">
      <w:pPr>
        <w:pStyle w:val="ConsPlusNormal"/>
        <w:jc w:val="right"/>
        <w:rPr>
          <w:rFonts w:ascii="Times New Roman" w:hAnsi="Times New Roman" w:cs="Times New Roman"/>
          <w:sz w:val="24"/>
          <w:szCs w:val="24"/>
        </w:rPr>
      </w:pPr>
      <w:r>
        <w:rPr>
          <w:rFonts w:ascii="Times New Roman" w:hAnsi="Times New Roman" w:cs="Times New Roman"/>
          <w:sz w:val="24"/>
          <w:szCs w:val="24"/>
        </w:rPr>
        <w:t>Курташкинского сельского поселения Атюрьевского</w:t>
      </w:r>
    </w:p>
    <w:p w:rsidR="00A0673F" w:rsidRDefault="00A0673F">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муниципального района Республики Мордовия</w:t>
      </w:r>
    </w:p>
    <w:p w:rsidR="00A0673F" w:rsidRDefault="00A0673F">
      <w:pPr>
        <w:pStyle w:val="ConsPlusNormal"/>
        <w:jc w:val="right"/>
        <w:rPr>
          <w:rFonts w:ascii="Times New Roman" w:hAnsi="Times New Roman" w:cs="Times New Roman"/>
          <w:sz w:val="24"/>
          <w:szCs w:val="24"/>
        </w:rPr>
      </w:pPr>
      <w:r>
        <w:rPr>
          <w:rFonts w:ascii="Times New Roman" w:hAnsi="Times New Roman" w:cs="Times New Roman"/>
          <w:sz w:val="24"/>
          <w:szCs w:val="24"/>
        </w:rPr>
        <w:t>от «28» мая 2019 г. №15</w:t>
      </w:r>
    </w:p>
    <w:p w:rsidR="00A0673F" w:rsidRDefault="00A0673F">
      <w:pPr>
        <w:pStyle w:val="ConsPlusNormal"/>
        <w:jc w:val="right"/>
        <w:rPr>
          <w:rFonts w:ascii="Times New Roman" w:hAnsi="Times New Roman" w:cs="Times New Roman"/>
          <w:sz w:val="24"/>
          <w:szCs w:val="24"/>
        </w:rPr>
      </w:pPr>
    </w:p>
    <w:p w:rsidR="00A0673F" w:rsidRDefault="00A0673F">
      <w:pPr>
        <w:pStyle w:val="ConsPlusNormal"/>
        <w:jc w:val="both"/>
        <w:rPr>
          <w:rFonts w:ascii="Times New Roman" w:hAnsi="Times New Roman" w:cs="Times New Roman"/>
          <w:sz w:val="24"/>
          <w:szCs w:val="24"/>
        </w:rPr>
      </w:pPr>
    </w:p>
    <w:p w:rsidR="00A0673F" w:rsidRDefault="00A0673F">
      <w:pPr>
        <w:pStyle w:val="ConsPlusNormal"/>
        <w:jc w:val="center"/>
        <w:rPr>
          <w:rFonts w:ascii="Times New Roman" w:hAnsi="Times New Roman" w:cs="Times New Roman"/>
          <w:sz w:val="28"/>
          <w:szCs w:val="28"/>
        </w:rPr>
      </w:pPr>
      <w:r>
        <w:rPr>
          <w:rFonts w:ascii="Times New Roman" w:hAnsi="Times New Roman" w:cs="Times New Roman"/>
          <w:sz w:val="28"/>
          <w:szCs w:val="28"/>
        </w:rPr>
        <w:t>ПЕРЕЧЕНЬ</w:t>
      </w:r>
    </w:p>
    <w:p w:rsidR="00A0673F" w:rsidRDefault="00A0673F">
      <w:pPr>
        <w:pStyle w:val="ConsPlusNormal"/>
        <w:jc w:val="center"/>
        <w:rPr>
          <w:rFonts w:ascii="Times New Roman" w:hAnsi="Times New Roman" w:cs="Times New Roman"/>
          <w:sz w:val="28"/>
          <w:szCs w:val="28"/>
        </w:rPr>
      </w:pPr>
      <w:r>
        <w:rPr>
          <w:rFonts w:ascii="Times New Roman" w:hAnsi="Times New Roman" w:cs="Times New Roman"/>
          <w:sz w:val="28"/>
          <w:szCs w:val="28"/>
        </w:rPr>
        <w:t>ДОКУМЕНТОВ, НА ОСНОВАНИИ КОТОРЫХ ВОЗНИКАЮТ БЮДЖЕТНЫЕ</w:t>
      </w:r>
    </w:p>
    <w:p w:rsidR="00A0673F" w:rsidRDefault="00A0673F">
      <w:pPr>
        <w:pStyle w:val="ConsPlusNormal"/>
        <w:jc w:val="center"/>
        <w:rPr>
          <w:rFonts w:ascii="Times New Roman" w:hAnsi="Times New Roman" w:cs="Times New Roman"/>
          <w:sz w:val="28"/>
          <w:szCs w:val="28"/>
        </w:rPr>
      </w:pPr>
      <w:r>
        <w:rPr>
          <w:rFonts w:ascii="Times New Roman" w:hAnsi="Times New Roman" w:cs="Times New Roman"/>
          <w:sz w:val="28"/>
          <w:szCs w:val="28"/>
        </w:rPr>
        <w:t>ОБЯЗАТЕЛЬСТВА ПОЛУЧАТЕЛЕЙ СРЕДСТВ БЮДЖЕТА</w:t>
      </w:r>
    </w:p>
    <w:p w:rsidR="00A0673F" w:rsidRDefault="00A0673F">
      <w:pPr>
        <w:pStyle w:val="ConsPlusNormal"/>
        <w:jc w:val="center"/>
        <w:rPr>
          <w:rFonts w:ascii="Times New Roman" w:hAnsi="Times New Roman" w:cs="Times New Roman"/>
          <w:sz w:val="28"/>
          <w:szCs w:val="28"/>
        </w:rPr>
      </w:pPr>
      <w:r>
        <w:rPr>
          <w:rFonts w:ascii="Times New Roman" w:hAnsi="Times New Roman" w:cs="Times New Roman"/>
          <w:sz w:val="28"/>
          <w:szCs w:val="28"/>
        </w:rPr>
        <w:t>КУРТАШКИНСКОГО СЕЛЬСКОГО ПОСЕЛЕНИЯ АТЮРЬЕВСКОГО МУНИЦИПАЛЬНОГО РАЙОНА РЕСПУБЛИКИ МОРДОВИЯ, И ДОКУМЕНТОВ, ПОДТВЕРЖДАЮЩИХ ВОЗНИКНОВЕНИЕ ДЕНЕЖНЫХ ОБЯЗАТЕЛЬСТВ ПОЛУЧАТЕЛЕЙ СРЕДСТВ БЮДЖЕТА КУРТАШКИНСКОГО СЕЛЬСКОГО ПОСЕЛЕНИЯ АТЮРЬЕВСКОГО МУНИЦИПАЛЬНОГО РАЙОНА РЕСПУБЛИКИ МОРДОВИЯ</w:t>
      </w:r>
    </w:p>
    <w:p w:rsidR="00A0673F" w:rsidRDefault="00A0673F">
      <w:pPr>
        <w:pStyle w:val="ConsPlusNormal"/>
        <w:jc w:val="both"/>
        <w:rPr>
          <w:rFonts w:ascii="Times New Roman" w:hAnsi="Times New Roman" w:cs="Times New Roman"/>
          <w:sz w:val="28"/>
          <w:szCs w:val="28"/>
        </w:rPr>
      </w:pPr>
    </w:p>
    <w:tbl>
      <w:tblPr>
        <w:tblW w:w="10347" w:type="dxa"/>
        <w:tblInd w:w="-60" w:type="dxa"/>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tblPr>
      <w:tblGrid>
        <w:gridCol w:w="567"/>
        <w:gridCol w:w="4252"/>
        <w:gridCol w:w="5528"/>
      </w:tblGrid>
      <w:tr w:rsidR="00A0673F">
        <w:tc>
          <w:tcPr>
            <w:tcW w:w="567" w:type="dxa"/>
            <w:tcBorders>
              <w:top w:val="single" w:sz="4" w:space="0" w:color="auto"/>
              <w:bottom w:val="single" w:sz="4" w:space="0" w:color="auto"/>
              <w:right w:val="single" w:sz="4" w:space="0" w:color="auto"/>
            </w:tcBorders>
          </w:tcPr>
          <w:p w:rsidR="00A0673F" w:rsidRDefault="00A0673F">
            <w:pPr>
              <w:pStyle w:val="ConsPlusNormal"/>
              <w:jc w:val="center"/>
              <w:rPr>
                <w:rFonts w:ascii="Times New Roman" w:hAnsi="Times New Roman" w:cs="Times New Roman"/>
                <w:sz w:val="28"/>
                <w:szCs w:val="28"/>
              </w:rPr>
            </w:pPr>
            <w:r>
              <w:rPr>
                <w:rFonts w:ascii="Times New Roman" w:hAnsi="Times New Roman" w:cs="Times New Roman"/>
                <w:sz w:val="28"/>
                <w:szCs w:val="28"/>
              </w:rPr>
              <w:t>N</w:t>
            </w:r>
          </w:p>
          <w:p w:rsidR="00A0673F" w:rsidRDefault="00A0673F">
            <w:pPr>
              <w:pStyle w:val="ConsPlusNormal"/>
              <w:jc w:val="center"/>
              <w:rPr>
                <w:rFonts w:ascii="Times New Roman" w:hAnsi="Times New Roman" w:cs="Times New Roman"/>
                <w:sz w:val="28"/>
                <w:szCs w:val="28"/>
              </w:rPr>
            </w:pPr>
            <w:r>
              <w:rPr>
                <w:rFonts w:ascii="Times New Roman" w:hAnsi="Times New Roman" w:cs="Times New Roman"/>
                <w:sz w:val="28"/>
                <w:szCs w:val="28"/>
              </w:rPr>
              <w:t>п/п</w:t>
            </w:r>
          </w:p>
        </w:tc>
        <w:tc>
          <w:tcPr>
            <w:tcW w:w="4252" w:type="dxa"/>
            <w:tcBorders>
              <w:top w:val="single" w:sz="4" w:space="0" w:color="auto"/>
              <w:left w:val="single" w:sz="4" w:space="0" w:color="auto"/>
              <w:bottom w:val="single" w:sz="4" w:space="0" w:color="auto"/>
              <w:right w:val="single" w:sz="4" w:space="0" w:color="auto"/>
            </w:tcBorders>
          </w:tcPr>
          <w:p w:rsidR="00A0673F" w:rsidRDefault="00A0673F">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Документ, на основании которого возникает бюджетное обязательство получателя средств бюджета </w:t>
            </w:r>
          </w:p>
        </w:tc>
        <w:tc>
          <w:tcPr>
            <w:tcW w:w="5528" w:type="dxa"/>
            <w:tcBorders>
              <w:top w:val="single" w:sz="4" w:space="0" w:color="auto"/>
              <w:left w:val="single" w:sz="4" w:space="0" w:color="auto"/>
              <w:bottom w:val="single" w:sz="4" w:space="0" w:color="auto"/>
            </w:tcBorders>
          </w:tcPr>
          <w:p w:rsidR="00A0673F" w:rsidRDefault="00A0673F">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Документ, подтверждающий возникновение денежного обязательства получателя средств бюджета </w:t>
            </w:r>
          </w:p>
        </w:tc>
      </w:tr>
      <w:tr w:rsidR="00A0673F">
        <w:tc>
          <w:tcPr>
            <w:tcW w:w="567" w:type="dxa"/>
            <w:tcBorders>
              <w:top w:val="single" w:sz="4" w:space="0" w:color="auto"/>
              <w:bottom w:val="single" w:sz="4" w:space="0" w:color="auto"/>
              <w:right w:val="single" w:sz="4" w:space="0" w:color="auto"/>
            </w:tcBorders>
          </w:tcPr>
          <w:p w:rsidR="00A0673F" w:rsidRDefault="00A0673F">
            <w:pPr>
              <w:pStyle w:val="ConsPlusNormal"/>
              <w:jc w:val="center"/>
              <w:rPr>
                <w:rFonts w:ascii="Times New Roman" w:hAnsi="Times New Roman" w:cs="Times New Roman"/>
                <w:sz w:val="28"/>
                <w:szCs w:val="28"/>
              </w:rPr>
            </w:pPr>
            <w:r>
              <w:rPr>
                <w:rFonts w:ascii="Times New Roman" w:hAnsi="Times New Roman" w:cs="Times New Roman"/>
                <w:sz w:val="28"/>
                <w:szCs w:val="28"/>
              </w:rPr>
              <w:t>1</w:t>
            </w:r>
          </w:p>
        </w:tc>
        <w:tc>
          <w:tcPr>
            <w:tcW w:w="4252" w:type="dxa"/>
            <w:tcBorders>
              <w:top w:val="single" w:sz="4" w:space="0" w:color="auto"/>
              <w:left w:val="single" w:sz="4" w:space="0" w:color="auto"/>
              <w:bottom w:val="single" w:sz="4" w:space="0" w:color="auto"/>
              <w:right w:val="single" w:sz="4" w:space="0" w:color="auto"/>
            </w:tcBorders>
          </w:tcPr>
          <w:p w:rsidR="00A0673F" w:rsidRDefault="00A0673F">
            <w:pPr>
              <w:pStyle w:val="ConsPlusNormal"/>
              <w:jc w:val="center"/>
              <w:rPr>
                <w:rFonts w:ascii="Times New Roman" w:hAnsi="Times New Roman" w:cs="Times New Roman"/>
                <w:sz w:val="28"/>
                <w:szCs w:val="28"/>
              </w:rPr>
            </w:pPr>
            <w:r>
              <w:rPr>
                <w:rFonts w:ascii="Times New Roman" w:hAnsi="Times New Roman" w:cs="Times New Roman"/>
                <w:sz w:val="28"/>
                <w:szCs w:val="28"/>
              </w:rPr>
              <w:t>2</w:t>
            </w:r>
          </w:p>
        </w:tc>
        <w:tc>
          <w:tcPr>
            <w:tcW w:w="5528" w:type="dxa"/>
            <w:tcBorders>
              <w:top w:val="single" w:sz="4" w:space="0" w:color="auto"/>
              <w:left w:val="single" w:sz="4" w:space="0" w:color="auto"/>
              <w:bottom w:val="single" w:sz="4" w:space="0" w:color="auto"/>
            </w:tcBorders>
          </w:tcPr>
          <w:p w:rsidR="00A0673F" w:rsidRDefault="00A0673F">
            <w:pPr>
              <w:pStyle w:val="ConsPlusNormal"/>
              <w:jc w:val="center"/>
              <w:rPr>
                <w:rFonts w:ascii="Times New Roman" w:hAnsi="Times New Roman" w:cs="Times New Roman"/>
                <w:sz w:val="28"/>
                <w:szCs w:val="28"/>
              </w:rPr>
            </w:pPr>
            <w:r>
              <w:rPr>
                <w:rFonts w:ascii="Times New Roman" w:hAnsi="Times New Roman" w:cs="Times New Roman"/>
                <w:sz w:val="28"/>
                <w:szCs w:val="28"/>
              </w:rPr>
              <w:t>3</w:t>
            </w:r>
          </w:p>
        </w:tc>
      </w:tr>
      <w:tr w:rsidR="00A0673F">
        <w:tc>
          <w:tcPr>
            <w:tcW w:w="567" w:type="dxa"/>
            <w:tcBorders>
              <w:top w:val="single" w:sz="4" w:space="0" w:color="auto"/>
              <w:bottom w:val="single" w:sz="4" w:space="0" w:color="auto"/>
              <w:right w:val="single" w:sz="4" w:space="0" w:color="auto"/>
            </w:tcBorders>
          </w:tcPr>
          <w:p w:rsidR="00A0673F" w:rsidRDefault="00A0673F">
            <w:pPr>
              <w:pStyle w:val="ConsPlusNormal"/>
              <w:jc w:val="center"/>
              <w:rPr>
                <w:rFonts w:ascii="Times New Roman" w:hAnsi="Times New Roman" w:cs="Times New Roman"/>
                <w:sz w:val="28"/>
                <w:szCs w:val="28"/>
              </w:rPr>
            </w:pPr>
            <w:r>
              <w:rPr>
                <w:rFonts w:ascii="Times New Roman" w:hAnsi="Times New Roman" w:cs="Times New Roman"/>
                <w:sz w:val="28"/>
                <w:szCs w:val="28"/>
              </w:rPr>
              <w:t>1.</w:t>
            </w:r>
          </w:p>
        </w:tc>
        <w:tc>
          <w:tcPr>
            <w:tcW w:w="4252" w:type="dxa"/>
            <w:tcBorders>
              <w:top w:val="single" w:sz="4" w:space="0" w:color="auto"/>
              <w:left w:val="single" w:sz="4" w:space="0" w:color="auto"/>
              <w:bottom w:val="single" w:sz="4" w:space="0" w:color="auto"/>
              <w:right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 xml:space="preserve">Извещение об осуществлении закупки, за исключением извещений об осуществлении закупок, указанных в </w:t>
            </w:r>
            <w:hyperlink r:id="rId19" w:history="1">
              <w:r>
                <w:rPr>
                  <w:rStyle w:val="Hyperlink"/>
                  <w:sz w:val="28"/>
                  <w:szCs w:val="28"/>
                </w:rPr>
                <w:t>пункте 13</w:t>
              </w:r>
            </w:hyperlink>
            <w:r>
              <w:rPr>
                <w:rFonts w:ascii="Times New Roman" w:hAnsi="Times New Roman" w:cs="Times New Roman"/>
                <w:sz w:val="28"/>
                <w:szCs w:val="28"/>
              </w:rPr>
              <w:t xml:space="preserve"> настоящего перечня</w:t>
            </w: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Формирование денежного обязательства не предусматривается</w:t>
            </w:r>
          </w:p>
        </w:tc>
      </w:tr>
      <w:tr w:rsidR="00A0673F">
        <w:tc>
          <w:tcPr>
            <w:tcW w:w="567" w:type="dxa"/>
            <w:tcBorders>
              <w:top w:val="single" w:sz="4" w:space="0" w:color="auto"/>
              <w:bottom w:val="single" w:sz="4" w:space="0" w:color="auto"/>
              <w:right w:val="single" w:sz="4" w:space="0" w:color="auto"/>
            </w:tcBorders>
          </w:tcPr>
          <w:p w:rsidR="00A0673F" w:rsidRDefault="00A0673F">
            <w:pPr>
              <w:pStyle w:val="ConsPlusNormal"/>
              <w:jc w:val="center"/>
              <w:rPr>
                <w:rFonts w:ascii="Times New Roman" w:hAnsi="Times New Roman" w:cs="Times New Roman"/>
                <w:sz w:val="28"/>
                <w:szCs w:val="28"/>
              </w:rPr>
            </w:pPr>
            <w:r>
              <w:rPr>
                <w:rFonts w:ascii="Times New Roman" w:hAnsi="Times New Roman" w:cs="Times New Roman"/>
                <w:sz w:val="28"/>
                <w:szCs w:val="28"/>
              </w:rPr>
              <w:t>2.</w:t>
            </w:r>
          </w:p>
        </w:tc>
        <w:tc>
          <w:tcPr>
            <w:tcW w:w="4252" w:type="dxa"/>
            <w:tcBorders>
              <w:top w:val="single" w:sz="4" w:space="0" w:color="auto"/>
              <w:left w:val="single" w:sz="4" w:space="0" w:color="auto"/>
              <w:bottom w:val="single" w:sz="4" w:space="0" w:color="auto"/>
              <w:right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w:t>
            </w:r>
            <w:hyperlink r:id="rId20" w:history="1">
              <w:r>
                <w:rPr>
                  <w:rStyle w:val="Hyperlink"/>
                  <w:sz w:val="28"/>
                  <w:szCs w:val="28"/>
                </w:rPr>
                <w:t>пункте 13</w:t>
              </w:r>
            </w:hyperlink>
            <w:r>
              <w:rPr>
                <w:rFonts w:ascii="Times New Roman" w:hAnsi="Times New Roman" w:cs="Times New Roman"/>
                <w:sz w:val="28"/>
                <w:szCs w:val="28"/>
              </w:rPr>
              <w:t xml:space="preserve"> настоящего перечня</w:t>
            </w: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Формирование денежного обязательства не предусматривается</w:t>
            </w:r>
          </w:p>
        </w:tc>
      </w:tr>
      <w:tr w:rsidR="00A0673F">
        <w:trPr>
          <w:cantSplit/>
        </w:trPr>
        <w:tc>
          <w:tcPr>
            <w:tcW w:w="567" w:type="dxa"/>
            <w:vMerge w:val="restart"/>
            <w:tcBorders>
              <w:top w:val="single" w:sz="4" w:space="0" w:color="auto"/>
              <w:bottom w:val="single" w:sz="4" w:space="0" w:color="auto"/>
              <w:right w:val="single" w:sz="4" w:space="0" w:color="auto"/>
            </w:tcBorders>
          </w:tcPr>
          <w:p w:rsidR="00A0673F" w:rsidRDefault="00A0673F">
            <w:pPr>
              <w:pStyle w:val="ConsPlusNormal"/>
              <w:jc w:val="center"/>
              <w:rPr>
                <w:rFonts w:ascii="Times New Roman" w:hAnsi="Times New Roman" w:cs="Times New Roman"/>
                <w:sz w:val="28"/>
                <w:szCs w:val="28"/>
              </w:rPr>
            </w:pPr>
            <w:r>
              <w:rPr>
                <w:rFonts w:ascii="Times New Roman" w:hAnsi="Times New Roman" w:cs="Times New Roman"/>
                <w:sz w:val="28"/>
                <w:szCs w:val="28"/>
              </w:rPr>
              <w:t>3.</w:t>
            </w:r>
          </w:p>
        </w:tc>
        <w:tc>
          <w:tcPr>
            <w:tcW w:w="4252" w:type="dxa"/>
            <w:vMerge w:val="restart"/>
            <w:tcBorders>
              <w:top w:val="single" w:sz="4" w:space="0" w:color="auto"/>
              <w:left w:val="single" w:sz="4" w:space="0" w:color="auto"/>
              <w:bottom w:val="single" w:sz="4" w:space="0" w:color="auto"/>
              <w:right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 xml:space="preserve">Муниципальный контракт (договор) на поставку товаров, выполнение работ, оказание услуг для обеспечения муниципальных нужд,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указанных в </w:t>
            </w:r>
            <w:hyperlink r:id="rId21" w:history="1">
              <w:r>
                <w:rPr>
                  <w:rStyle w:val="Hyperlink"/>
                  <w:sz w:val="28"/>
                  <w:szCs w:val="28"/>
                </w:rPr>
                <w:t>пункте 13</w:t>
              </w:r>
            </w:hyperlink>
            <w:r>
              <w:rPr>
                <w:rFonts w:ascii="Times New Roman" w:hAnsi="Times New Roman" w:cs="Times New Roman"/>
                <w:sz w:val="28"/>
                <w:szCs w:val="28"/>
              </w:rPr>
              <w:t xml:space="preserve"> настоящего перечня</w:t>
            </w: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Акт выполненных работ</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Акт приема-передачи</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Акт об оказании услуг</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Муниципальный контракт (в случае осуществления авансовых платежей в соответствии с условиями государственного контракта)</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Справка-расчет или иной документ, являющийся основанием для оплаты неустойки</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Счет</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Счет-фактура</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Товарная накладная (унифицированная форма N ТОРГ-12) (ф. 0330212)</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Универсальный передаточный документ</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Чек</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  </w:t>
            </w:r>
          </w:p>
        </w:tc>
      </w:tr>
      <w:tr w:rsidR="00A0673F">
        <w:trPr>
          <w:cantSplit/>
        </w:trPr>
        <w:tc>
          <w:tcPr>
            <w:tcW w:w="567" w:type="dxa"/>
            <w:vMerge w:val="restart"/>
            <w:tcBorders>
              <w:top w:val="single" w:sz="4" w:space="0" w:color="auto"/>
              <w:bottom w:val="single" w:sz="4" w:space="0" w:color="auto"/>
              <w:right w:val="single" w:sz="4" w:space="0" w:color="auto"/>
            </w:tcBorders>
          </w:tcPr>
          <w:p w:rsidR="00A0673F" w:rsidRDefault="00A0673F">
            <w:pPr>
              <w:pStyle w:val="ConsPlusNormal"/>
              <w:jc w:val="center"/>
              <w:rPr>
                <w:rFonts w:ascii="Times New Roman" w:hAnsi="Times New Roman" w:cs="Times New Roman"/>
                <w:sz w:val="28"/>
                <w:szCs w:val="28"/>
              </w:rPr>
            </w:pPr>
            <w:r>
              <w:rPr>
                <w:rFonts w:ascii="Times New Roman" w:hAnsi="Times New Roman" w:cs="Times New Roman"/>
                <w:sz w:val="28"/>
                <w:szCs w:val="28"/>
              </w:rPr>
              <w:t>4.</w:t>
            </w:r>
          </w:p>
        </w:tc>
        <w:tc>
          <w:tcPr>
            <w:tcW w:w="4252" w:type="dxa"/>
            <w:vMerge w:val="restart"/>
            <w:tcBorders>
              <w:top w:val="single" w:sz="4" w:space="0" w:color="auto"/>
              <w:left w:val="single" w:sz="4" w:space="0" w:color="auto"/>
              <w:bottom w:val="single" w:sz="4" w:space="0" w:color="auto"/>
              <w:right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r:id="rId22" w:history="1">
              <w:r>
                <w:rPr>
                  <w:rStyle w:val="Hyperlink"/>
                  <w:sz w:val="28"/>
                  <w:szCs w:val="28"/>
                </w:rPr>
                <w:t>13 пункте</w:t>
              </w:r>
            </w:hyperlink>
            <w:r>
              <w:rPr>
                <w:rFonts w:ascii="Times New Roman" w:hAnsi="Times New Roman" w:cs="Times New Roman"/>
                <w:sz w:val="28"/>
                <w:szCs w:val="28"/>
              </w:rPr>
              <w:t xml:space="preserve"> настоящего перечня</w:t>
            </w: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Акт выполненных работ</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Акт об оказании услуг</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Акт приема-передачи</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Муниципальный контракт (в случае осуществления авансовых платежей в соответствии с условиями государственного контракта)</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Справка-расчет или иной документ, являющийся основанием для оплаты неустойки</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Счет</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Счет-фактура</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Товарная накладная (унифицированная форма N ТОРГ-12) (ф. 0330212)</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Универсальный передаточный документ</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Чек</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государственного контракта</w:t>
            </w:r>
          </w:p>
        </w:tc>
      </w:tr>
      <w:tr w:rsidR="00A0673F">
        <w:trPr>
          <w:cantSplit/>
        </w:trPr>
        <w:tc>
          <w:tcPr>
            <w:tcW w:w="567" w:type="dxa"/>
            <w:vMerge w:val="restart"/>
            <w:tcBorders>
              <w:top w:val="single" w:sz="4" w:space="0" w:color="auto"/>
              <w:bottom w:val="single" w:sz="4" w:space="0" w:color="auto"/>
              <w:right w:val="single" w:sz="4" w:space="0" w:color="auto"/>
            </w:tcBorders>
          </w:tcPr>
          <w:p w:rsidR="00A0673F" w:rsidRDefault="00A0673F">
            <w:pPr>
              <w:pStyle w:val="ConsPlusNormal"/>
              <w:jc w:val="center"/>
              <w:rPr>
                <w:rFonts w:ascii="Times New Roman" w:hAnsi="Times New Roman" w:cs="Times New Roman"/>
                <w:sz w:val="28"/>
                <w:szCs w:val="28"/>
              </w:rPr>
            </w:pPr>
            <w:r>
              <w:rPr>
                <w:rFonts w:ascii="Times New Roman" w:hAnsi="Times New Roman" w:cs="Times New Roman"/>
                <w:sz w:val="28"/>
                <w:szCs w:val="28"/>
              </w:rPr>
              <w:t>5.</w:t>
            </w:r>
          </w:p>
        </w:tc>
        <w:tc>
          <w:tcPr>
            <w:tcW w:w="4252" w:type="dxa"/>
            <w:vMerge w:val="restart"/>
            <w:tcBorders>
              <w:top w:val="single" w:sz="4" w:space="0" w:color="auto"/>
              <w:left w:val="single" w:sz="4" w:space="0" w:color="auto"/>
              <w:bottom w:val="single" w:sz="4" w:space="0" w:color="auto"/>
              <w:right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Соглашение о предоставлении из бюджета Курташкинского сельского поселения Атюрьевского муниципального района Республики Мордовия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w:t>
            </w: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График перечисления межбюджетного трансферта, предусмотренный соглашением о предоставлении межбюджетного трансферта</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Заявка о перечислении межбюджетного трансферта из бюджета Курташкинского сельского поселения Атюрьевского муниципального района Республики Мордовия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Курташкинского сельского поселения Атюрьевского муниципального района Республики Мордовия, возникшему на основании соглашения о предоставлении межбюджетного трансферта в форме субсидии, субвенции, иного межбюджетного трансферта, имеющего целевое назначение</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Курташкинского сельского поселения Атюрьевского муниципального района Республики Мордовия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A0673F">
        <w:trPr>
          <w:cantSplit/>
        </w:trPr>
        <w:tc>
          <w:tcPr>
            <w:tcW w:w="567" w:type="dxa"/>
            <w:vMerge w:val="restart"/>
            <w:tcBorders>
              <w:top w:val="single" w:sz="4" w:space="0" w:color="auto"/>
              <w:bottom w:val="single" w:sz="4" w:space="0" w:color="auto"/>
              <w:right w:val="single" w:sz="4" w:space="0" w:color="auto"/>
            </w:tcBorders>
          </w:tcPr>
          <w:p w:rsidR="00A0673F" w:rsidRDefault="00A0673F">
            <w:pPr>
              <w:pStyle w:val="ConsPlusNormal"/>
              <w:jc w:val="center"/>
              <w:rPr>
                <w:rFonts w:ascii="Times New Roman" w:hAnsi="Times New Roman" w:cs="Times New Roman"/>
                <w:sz w:val="28"/>
                <w:szCs w:val="28"/>
              </w:rPr>
            </w:pPr>
            <w:r>
              <w:rPr>
                <w:rFonts w:ascii="Times New Roman" w:hAnsi="Times New Roman" w:cs="Times New Roman"/>
                <w:sz w:val="28"/>
                <w:szCs w:val="28"/>
              </w:rPr>
              <w:t>6.</w:t>
            </w:r>
          </w:p>
        </w:tc>
        <w:tc>
          <w:tcPr>
            <w:tcW w:w="4252" w:type="dxa"/>
            <w:vMerge w:val="restart"/>
            <w:tcBorders>
              <w:top w:val="single" w:sz="4" w:space="0" w:color="auto"/>
              <w:left w:val="single" w:sz="4" w:space="0" w:color="auto"/>
              <w:bottom w:val="single" w:sz="4" w:space="0" w:color="auto"/>
              <w:right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 xml:space="preserve">Правовой акт, предусматривающий предоставление из бюджета Курташкинского сельского поселения Атюрьевского муниципального района Республики Мордовия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w:t>
            </w:r>
            <w:hyperlink r:id="rId23" w:history="1">
              <w:r>
                <w:rPr>
                  <w:rStyle w:val="Hyperlink"/>
                  <w:sz w:val="28"/>
                  <w:szCs w:val="28"/>
                </w:rPr>
                <w:t>пункте 13</w:t>
              </w:r>
            </w:hyperlink>
            <w:r>
              <w:rPr>
                <w:rFonts w:ascii="Times New Roman" w:hAnsi="Times New Roman" w:cs="Times New Roman"/>
                <w:sz w:val="28"/>
                <w:szCs w:val="28"/>
              </w:rPr>
              <w:t xml:space="preserve"> настоящего перечня</w:t>
            </w: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Заявка о перечислении межбюджетного трансферта из бюджета Курташкинского сельского поселения Атюрьевского муниципального района Республики Мордовия бюджетам муниципальных образований по форме, установленной в соответствии с порядком (правилами) предоставления межбюджетного трансферта</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Курташкинского сельского поселения Атюрьевского муниципального района Республики Мордовия, возникшему на основании правового акта о предоставлении межбюджетного трансферта</w:t>
            </w:r>
          </w:p>
        </w:tc>
      </w:tr>
      <w:tr w:rsidR="00A0673F">
        <w:trPr>
          <w:cantSplit/>
        </w:trPr>
        <w:tc>
          <w:tcPr>
            <w:tcW w:w="567" w:type="dxa"/>
            <w:vMerge w:val="restart"/>
            <w:tcBorders>
              <w:top w:val="single" w:sz="4" w:space="0" w:color="auto"/>
              <w:bottom w:val="single" w:sz="4" w:space="0" w:color="auto"/>
              <w:right w:val="single" w:sz="4" w:space="0" w:color="auto"/>
            </w:tcBorders>
          </w:tcPr>
          <w:p w:rsidR="00A0673F" w:rsidRDefault="00A0673F">
            <w:pPr>
              <w:pStyle w:val="ConsPlusNormal"/>
              <w:jc w:val="center"/>
              <w:rPr>
                <w:rFonts w:ascii="Times New Roman" w:hAnsi="Times New Roman" w:cs="Times New Roman"/>
                <w:sz w:val="28"/>
                <w:szCs w:val="28"/>
              </w:rPr>
            </w:pPr>
            <w:r>
              <w:rPr>
                <w:rFonts w:ascii="Times New Roman" w:hAnsi="Times New Roman" w:cs="Times New Roman"/>
                <w:sz w:val="28"/>
                <w:szCs w:val="28"/>
              </w:rPr>
              <w:t>7.</w:t>
            </w:r>
          </w:p>
        </w:tc>
        <w:tc>
          <w:tcPr>
            <w:tcW w:w="4252" w:type="dxa"/>
            <w:vMerge w:val="restart"/>
            <w:tcBorders>
              <w:top w:val="single" w:sz="4" w:space="0" w:color="auto"/>
              <w:left w:val="single" w:sz="4" w:space="0" w:color="auto"/>
              <w:bottom w:val="single" w:sz="4" w:space="0" w:color="auto"/>
              <w:right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 xml:space="preserve">Договор (соглашение) о предоставлении субсидии бюджетному или автономному учреждению </w:t>
            </w: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 xml:space="preserve">График перечисления субсидии, предусмотренный договором (соглашением) о предоставлении субсидии бюджетному или автономному учреждению </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Курташкинского сельского поселения Атюрьевского муниципального района Республики Мордовия, возникшему на основании договора (соглашения) о предоставлении субсидии бюджетному или автономному учреждению </w:t>
            </w:r>
          </w:p>
        </w:tc>
      </w:tr>
      <w:tr w:rsidR="00A0673F">
        <w:trPr>
          <w:cantSplit/>
        </w:trPr>
        <w:tc>
          <w:tcPr>
            <w:tcW w:w="567" w:type="dxa"/>
            <w:vMerge w:val="restart"/>
            <w:tcBorders>
              <w:top w:val="single" w:sz="4" w:space="0" w:color="auto"/>
              <w:bottom w:val="single" w:sz="4" w:space="0" w:color="auto"/>
              <w:right w:val="single" w:sz="4" w:space="0" w:color="auto"/>
            </w:tcBorders>
          </w:tcPr>
          <w:p w:rsidR="00A0673F" w:rsidRDefault="00A0673F">
            <w:pPr>
              <w:pStyle w:val="ConsPlusNormal"/>
              <w:jc w:val="center"/>
              <w:rPr>
                <w:rFonts w:ascii="Times New Roman" w:hAnsi="Times New Roman" w:cs="Times New Roman"/>
                <w:sz w:val="28"/>
                <w:szCs w:val="28"/>
              </w:rPr>
            </w:pPr>
            <w:r>
              <w:rPr>
                <w:rFonts w:ascii="Times New Roman" w:hAnsi="Times New Roman" w:cs="Times New Roman"/>
                <w:sz w:val="28"/>
                <w:szCs w:val="28"/>
              </w:rPr>
              <w:t>8.</w:t>
            </w:r>
          </w:p>
        </w:tc>
        <w:tc>
          <w:tcPr>
            <w:tcW w:w="4252" w:type="dxa"/>
            <w:vMerge w:val="restart"/>
            <w:tcBorders>
              <w:top w:val="single" w:sz="4" w:space="0" w:color="auto"/>
              <w:left w:val="single" w:sz="4" w:space="0" w:color="auto"/>
              <w:bottom w:val="single" w:sz="4" w:space="0" w:color="auto"/>
              <w:right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 xml:space="preserve">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за исключением договоров (соглашений), указанных в </w:t>
            </w:r>
            <w:hyperlink r:id="rId24" w:history="1">
              <w:r>
                <w:rPr>
                  <w:rStyle w:val="Hyperlink"/>
                  <w:sz w:val="28"/>
                  <w:szCs w:val="28"/>
                </w:rPr>
                <w:t>пункте 13</w:t>
              </w:r>
            </w:hyperlink>
            <w:r>
              <w:rPr>
                <w:rFonts w:ascii="Times New Roman" w:hAnsi="Times New Roman" w:cs="Times New Roman"/>
                <w:sz w:val="28"/>
                <w:szCs w:val="28"/>
              </w:rPr>
              <w:t xml:space="preserve"> настоящего перечня</w:t>
            </w: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Акт выполненных работ</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Акт об оказании услуг</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Акт приема-передачи</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Справка-расчет или иной документ, являющийся основанием для оплаты неустойки</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Счет</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Счет-фактура</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Товарная накладная (унифицированная форма N ТОРГ-12) (ф. 0330212)</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Чек</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реестр платежей к оплате, сформированный в соответствии с порядком (правилами) предоставления субсидии;</w:t>
            </w:r>
          </w:p>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Курташкинского сельского поселения Атюрьевского муниципального района Республики Мордовия,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A0673F">
        <w:trPr>
          <w:cantSplit/>
        </w:trPr>
        <w:tc>
          <w:tcPr>
            <w:tcW w:w="567" w:type="dxa"/>
            <w:vMerge w:val="restart"/>
            <w:tcBorders>
              <w:top w:val="single" w:sz="4" w:space="0" w:color="auto"/>
              <w:bottom w:val="single" w:sz="4" w:space="0" w:color="auto"/>
              <w:right w:val="single" w:sz="4" w:space="0" w:color="auto"/>
            </w:tcBorders>
          </w:tcPr>
          <w:p w:rsidR="00A0673F" w:rsidRDefault="00A0673F">
            <w:pPr>
              <w:pStyle w:val="ConsPlusNormal"/>
              <w:jc w:val="center"/>
              <w:rPr>
                <w:rFonts w:ascii="Times New Roman" w:hAnsi="Times New Roman" w:cs="Times New Roman"/>
                <w:sz w:val="28"/>
                <w:szCs w:val="28"/>
              </w:rPr>
            </w:pPr>
            <w:r>
              <w:rPr>
                <w:rFonts w:ascii="Times New Roman" w:hAnsi="Times New Roman" w:cs="Times New Roman"/>
                <w:sz w:val="28"/>
                <w:szCs w:val="28"/>
              </w:rPr>
              <w:t>9.</w:t>
            </w:r>
          </w:p>
        </w:tc>
        <w:tc>
          <w:tcPr>
            <w:tcW w:w="4252" w:type="dxa"/>
            <w:vMerge w:val="restart"/>
            <w:tcBorders>
              <w:top w:val="single" w:sz="4" w:space="0" w:color="auto"/>
              <w:left w:val="single" w:sz="4" w:space="0" w:color="auto"/>
              <w:bottom w:val="single" w:sz="4" w:space="0" w:color="auto"/>
              <w:right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В случае предоставления субсидии юридическому лицу на возмещение фактически произведенных расходов (недополученных доходов):</w:t>
            </w:r>
          </w:p>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заявка на перечисление субсидии юридическому лицу (при наличии)</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Курташкинского сельского поселения Атюрьевского муниципального района Республики Мордовия, возникшему на основании правового акта о предоставлении субсидии юридическому лицу</w:t>
            </w:r>
          </w:p>
        </w:tc>
      </w:tr>
      <w:tr w:rsidR="00A0673F">
        <w:trPr>
          <w:cantSplit/>
        </w:trPr>
        <w:tc>
          <w:tcPr>
            <w:tcW w:w="567" w:type="dxa"/>
            <w:vMerge w:val="restart"/>
            <w:tcBorders>
              <w:top w:val="single" w:sz="4" w:space="0" w:color="auto"/>
              <w:bottom w:val="single" w:sz="4" w:space="0" w:color="auto"/>
              <w:right w:val="single" w:sz="4" w:space="0" w:color="auto"/>
            </w:tcBorders>
          </w:tcPr>
          <w:p w:rsidR="00A0673F" w:rsidRDefault="00A0673F">
            <w:pPr>
              <w:pStyle w:val="ConsPlusNormal"/>
              <w:jc w:val="center"/>
              <w:rPr>
                <w:rFonts w:ascii="Times New Roman" w:hAnsi="Times New Roman" w:cs="Times New Roman"/>
                <w:sz w:val="28"/>
                <w:szCs w:val="28"/>
              </w:rPr>
            </w:pPr>
            <w:r>
              <w:rPr>
                <w:rFonts w:ascii="Times New Roman" w:hAnsi="Times New Roman" w:cs="Times New Roman"/>
                <w:sz w:val="28"/>
                <w:szCs w:val="28"/>
              </w:rPr>
              <w:t>10.</w:t>
            </w:r>
          </w:p>
        </w:tc>
        <w:tc>
          <w:tcPr>
            <w:tcW w:w="4252" w:type="dxa"/>
            <w:vMerge w:val="restart"/>
            <w:tcBorders>
              <w:top w:val="single" w:sz="4" w:space="0" w:color="auto"/>
              <w:left w:val="single" w:sz="4" w:space="0" w:color="auto"/>
              <w:bottom w:val="single" w:sz="4" w:space="0" w:color="auto"/>
              <w:right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Приказ об утверждении Штатного расписания с расчетом годового фонда оплаты труда</w:t>
            </w: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Записка-расчет об исчислении среднего заработка при предоставлении отпуска, увольнении и других случаях (ф. 0504425)</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Расчетно-платежная ведомость (ф. 0504401)</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Расчетная ведомость (ф. 0504402)</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Курташкинского сельского поселения Атюрьевского муниципального района Республики Мордовия,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гражданской службе Республики Мордовия</w:t>
            </w:r>
          </w:p>
        </w:tc>
      </w:tr>
      <w:tr w:rsidR="00A0673F">
        <w:trPr>
          <w:cantSplit/>
        </w:trPr>
        <w:tc>
          <w:tcPr>
            <w:tcW w:w="567" w:type="dxa"/>
            <w:vMerge w:val="restart"/>
            <w:tcBorders>
              <w:top w:val="single" w:sz="4" w:space="0" w:color="auto"/>
              <w:bottom w:val="single" w:sz="4" w:space="0" w:color="auto"/>
              <w:right w:val="single" w:sz="4" w:space="0" w:color="auto"/>
            </w:tcBorders>
          </w:tcPr>
          <w:p w:rsidR="00A0673F" w:rsidRDefault="00A0673F">
            <w:pPr>
              <w:pStyle w:val="ConsPlusNormal"/>
              <w:jc w:val="center"/>
              <w:rPr>
                <w:rFonts w:ascii="Times New Roman" w:hAnsi="Times New Roman" w:cs="Times New Roman"/>
                <w:sz w:val="28"/>
                <w:szCs w:val="28"/>
              </w:rPr>
            </w:pPr>
            <w:r>
              <w:rPr>
                <w:rFonts w:ascii="Times New Roman" w:hAnsi="Times New Roman" w:cs="Times New Roman"/>
                <w:sz w:val="28"/>
                <w:szCs w:val="28"/>
              </w:rPr>
              <w:t>11.</w:t>
            </w:r>
          </w:p>
        </w:tc>
        <w:tc>
          <w:tcPr>
            <w:tcW w:w="4252" w:type="dxa"/>
            <w:vMerge w:val="restart"/>
            <w:tcBorders>
              <w:top w:val="single" w:sz="4" w:space="0" w:color="auto"/>
              <w:left w:val="single" w:sz="4" w:space="0" w:color="auto"/>
              <w:bottom w:val="single" w:sz="4" w:space="0" w:color="auto"/>
              <w:right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Исполнительный документ (исполнительный лист, судебный приказ) (далее - исполнительный документ)</w:t>
            </w: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Бухгалтерская справка (ф. 0504833)</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График выплат по исполнительному документу, предусматривающему выплаты периодического характера</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Исполнительный документ</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Курташкинского сельского поселения Атюрьевского муниципального района Республики Мордовия, возникшему на основании исполнительного документа</w:t>
            </w:r>
          </w:p>
        </w:tc>
      </w:tr>
      <w:tr w:rsidR="00A0673F">
        <w:trPr>
          <w:cantSplit/>
        </w:trPr>
        <w:tc>
          <w:tcPr>
            <w:tcW w:w="567" w:type="dxa"/>
            <w:vMerge w:val="restart"/>
            <w:tcBorders>
              <w:top w:val="single" w:sz="4" w:space="0" w:color="auto"/>
              <w:bottom w:val="single" w:sz="4" w:space="0" w:color="auto"/>
              <w:right w:val="single" w:sz="4" w:space="0" w:color="auto"/>
            </w:tcBorders>
          </w:tcPr>
          <w:p w:rsidR="00A0673F" w:rsidRDefault="00A0673F">
            <w:pPr>
              <w:pStyle w:val="ConsPlusNormal"/>
              <w:jc w:val="center"/>
              <w:rPr>
                <w:rFonts w:ascii="Times New Roman" w:hAnsi="Times New Roman" w:cs="Times New Roman"/>
                <w:sz w:val="28"/>
                <w:szCs w:val="28"/>
              </w:rPr>
            </w:pPr>
            <w:r>
              <w:rPr>
                <w:rFonts w:ascii="Times New Roman" w:hAnsi="Times New Roman" w:cs="Times New Roman"/>
                <w:sz w:val="28"/>
                <w:szCs w:val="28"/>
              </w:rPr>
              <w:t>12.</w:t>
            </w:r>
          </w:p>
        </w:tc>
        <w:tc>
          <w:tcPr>
            <w:tcW w:w="4252" w:type="dxa"/>
            <w:vMerge w:val="restart"/>
            <w:tcBorders>
              <w:top w:val="single" w:sz="4" w:space="0" w:color="auto"/>
              <w:left w:val="single" w:sz="4" w:space="0" w:color="auto"/>
              <w:bottom w:val="single" w:sz="4" w:space="0" w:color="auto"/>
              <w:right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Решение налогового органа о взыскании налога, сбора, пеней и штрафов (далее - решение налогового органа)</w:t>
            </w: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Бухгалтерская справка (ф. 0504833)</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Решение налогового органа</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Курташкинского сельского поселения Атюрьевского муниципального района Республики Мордовия,  возникшему на основании решения налогового органа</w:t>
            </w:r>
          </w:p>
        </w:tc>
      </w:tr>
      <w:tr w:rsidR="00A0673F">
        <w:trPr>
          <w:cantSplit/>
        </w:trPr>
        <w:tc>
          <w:tcPr>
            <w:tcW w:w="567" w:type="dxa"/>
            <w:vMerge w:val="restart"/>
            <w:tcBorders>
              <w:top w:val="single" w:sz="4" w:space="0" w:color="auto"/>
              <w:bottom w:val="single" w:sz="4" w:space="0" w:color="auto"/>
              <w:right w:val="single" w:sz="4" w:space="0" w:color="auto"/>
            </w:tcBorders>
          </w:tcPr>
          <w:p w:rsidR="00A0673F" w:rsidRDefault="00A0673F">
            <w:pPr>
              <w:pStyle w:val="ConsPlusNormal"/>
              <w:jc w:val="center"/>
              <w:rPr>
                <w:rFonts w:ascii="Times New Roman" w:hAnsi="Times New Roman" w:cs="Times New Roman"/>
                <w:sz w:val="28"/>
                <w:szCs w:val="28"/>
              </w:rPr>
            </w:pPr>
            <w:r>
              <w:rPr>
                <w:rFonts w:ascii="Times New Roman" w:hAnsi="Times New Roman" w:cs="Times New Roman"/>
                <w:sz w:val="28"/>
                <w:szCs w:val="28"/>
              </w:rPr>
              <w:t>13.</w:t>
            </w:r>
          </w:p>
        </w:tc>
        <w:tc>
          <w:tcPr>
            <w:tcW w:w="4252" w:type="dxa"/>
            <w:vMerge w:val="restart"/>
            <w:tcBorders>
              <w:top w:val="single" w:sz="4" w:space="0" w:color="auto"/>
              <w:left w:val="single" w:sz="4" w:space="0" w:color="auto"/>
              <w:bottom w:val="single" w:sz="4" w:space="0" w:color="auto"/>
              <w:right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 xml:space="preserve">Документ, не определенный </w:t>
            </w:r>
            <w:hyperlink r:id="rId25" w:history="1">
              <w:r>
                <w:rPr>
                  <w:rStyle w:val="Hyperlink"/>
                  <w:sz w:val="28"/>
                  <w:szCs w:val="28"/>
                </w:rPr>
                <w:t>пунктами 1</w:t>
              </w:r>
            </w:hyperlink>
            <w:r>
              <w:rPr>
                <w:rFonts w:ascii="Times New Roman" w:hAnsi="Times New Roman" w:cs="Times New Roman"/>
                <w:sz w:val="28"/>
                <w:szCs w:val="28"/>
              </w:rPr>
              <w:t xml:space="preserve"> - </w:t>
            </w:r>
            <w:hyperlink r:id="rId26" w:history="1">
              <w:r>
                <w:rPr>
                  <w:rStyle w:val="Hyperlink"/>
                  <w:sz w:val="28"/>
                  <w:szCs w:val="28"/>
                </w:rPr>
                <w:t>12</w:t>
              </w:r>
            </w:hyperlink>
            <w:r>
              <w:rPr>
                <w:rFonts w:ascii="Times New Roman" w:hAnsi="Times New Roman" w:cs="Times New Roman"/>
                <w:sz w:val="28"/>
                <w:szCs w:val="28"/>
              </w:rPr>
              <w:t xml:space="preserve"> настоящего перечня, в соответствии с которым возникает бюджетное обязательство получателя средств бюджета Курташкинского сельского поселения Атюрьевского муниципального района Республики Мордовия:</w:t>
            </w:r>
          </w:p>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Курташкинского сельского поселения Атюрьевского муниципального района Республики Мордовия не направлены информация и документы по указанному договору для их включения в реестр контрактов;</w:t>
            </w:r>
          </w:p>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 извещение об осуществлении закупки финансовых услуг по предоставлению кредита для финансирования дефицита бюджета Курташкинского сельского поселения Атюрьевского муниципального района Республики Мордовия и (или) погашения муниципальных долговых обязательств;</w:t>
            </w:r>
          </w:p>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 приглашение принять участие в определении исполнителя финансовых услуг по предоставлению кредита для финансирования дефицита бюджета Курташкинского сельского поселения Атюрьевского муниципального района Республики Мордовия и (или) погашения муниципальных долговых обязательств;</w:t>
            </w:r>
          </w:p>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 муниципальный контракт (договор) на оказание финансовых услуг по предоставлению кредита для финансирования дефицита бюджета Курташкинского сельского поселения Атюрьевского муниципального района Республики Мордовия и(или) погашения муниципальных долговых обязательств;</w:t>
            </w:r>
          </w:p>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 муниципальный контракт (договор) на оказание получателям социальных выплат банковских услуг;</w:t>
            </w:r>
          </w:p>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 правовой акт, предусматривающий предоставление из бюджета Курташкинского сельского поселения Атюрьевского муниципального района Республики Мордовия бюджетам муниципальных образований межбюджетного трансферта в форме дотаций на выравнивание бюджетной обеспеченности;</w:t>
            </w:r>
          </w:p>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 правовой акт, предусматривающий предоставление из бюджета Курташкинского сельского поселения Атюрьевского муниципального района Республики Мордовия бюджетам муниципальных образований межбюджетного трансферта в форме субсидий на софинансирование расходных обязательств, возникающих при выполнении полномочий органов местного самоуправления, выплачиваемых в зависимости от выполнения социально-экономических показателей;</w:t>
            </w:r>
          </w:p>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 xml:space="preserve">- правовой акт, предусматривающий предоставление из бюджета Курташкинского сельского поселения Атюрьевского муниципального района Республики Мордовия бюджетам муниципальных образований межбюджетного трансферта на софинансирование расходных обязательств; </w:t>
            </w:r>
          </w:p>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 xml:space="preserve"> - правовой акт, предусматривающий предоставление из бюджета Курташкинского сельского поселения Атюрьевского муниципального района Республики Мордовия бюджетам муниципальных образований межбюджетного трансферта из резервного фонда бюджета Курташкинского сельского поселения на обеспечение непредвиденных расходов, в том числе на проведение аварийно-востановительных работ и иных мероприятий связанных, связанных с ликвидацией последствий стихийных бедствий и других чрезвычайных ситуаций;</w:t>
            </w:r>
          </w:p>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 правовой акт, предусматривающий предоставление из бюджета Курташкинского сельского поселения Атюрьевского муниципального района Республики Мордовия денежных средств физическим и юридическим лицам из резервного фонда Главы Курташкинского сельского поселения Атюрьевского муниципального района Республики Мордовия на обеспечение непредвиденных расходов;</w:t>
            </w:r>
          </w:p>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 договор (соглашение) о предоставлении субсидии физическому лицу производителю товаров, работ, услуг, не являющемуся индивидуальным предпринимателем;</w:t>
            </w:r>
          </w:p>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 договор на оказание услуг, выполнение работ, заключенный получателем средств бюджета Курташкинского сельского поселения Атюрьевского муниципального района Республики Мордовия с физическим лицом, не являющимся индивидуальным предпринимателем;</w:t>
            </w:r>
          </w:p>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 xml:space="preserve">- иной документ, в соответствии с которым возникает бюджетное обязательство получателя средств бюджета Курташкинского сельского поселения Атюрьевского муниципального района Республики Мордовия </w:t>
            </w: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Авансовый отчет (ф. 0504505)</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Акт выполненных работ</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Акт приема-передачи</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Акт об оказании услуг</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Муниципальный контракт (в случае осуществления авансовых платежей в соответствии с условиями муниципального контракта)</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Справка-расчет или иной документ, являющийся основанием для оплаты неустойки</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Заявка о перечислении межбюджетного трансферта из бюджета Курташкинского сельского поселения Атюрьевского муниципального района Республики Мордовия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Заявление на выдачу денежных средств под отчет</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Заявление физического лица</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Квитанция</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Приказ о направлении в командировку, с прилагаемым расчетом командировочных сумм</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Служебная записка</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Счет</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Счет-фактура</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Товарная накладная (унифицированная форма N ТОРГ-12) (ф. 0330212)</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Универсальный передаточный документ</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Чек</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Договор на оказание услуг, выполнение работ, заключенный получателем средств бюджета Курташкинского сельского поселения Атюрьевского муниципального района Республики Мордовия с физическим лицом, не являющимся индивидуальным предпринимателем (в случае осуществления авансовых платежей в соответствии с условиями договора)</w:t>
            </w:r>
          </w:p>
        </w:tc>
      </w:tr>
      <w:tr w:rsidR="00A0673F">
        <w:trPr>
          <w:cantSplit/>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Отчет о выполнении условий, установленных при предоставлении субсидии физическому лицу производителю товаров, работ, услуг, в соответствии с порядком (правилами) предоставления субсидии;</w:t>
            </w:r>
          </w:p>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реестр платежей к оплате, сформированный в соответствии с порядком (правилами) предоставления субсидии;</w:t>
            </w:r>
          </w:p>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A0673F">
        <w:trPr>
          <w:cantSplit/>
          <w:trHeight w:val="3058"/>
        </w:trPr>
        <w:tc>
          <w:tcPr>
            <w:tcW w:w="567" w:type="dxa"/>
            <w:vMerge/>
            <w:tcBorders>
              <w:top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0673F" w:rsidRDefault="00A0673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0673F" w:rsidRDefault="00A0673F">
            <w:pPr>
              <w:pStyle w:val="ConsPlusNormal"/>
              <w:rPr>
                <w:rFonts w:ascii="Times New Roman" w:hAnsi="Times New Roman" w:cs="Times New Roman"/>
                <w:sz w:val="28"/>
                <w:szCs w:val="28"/>
              </w:rPr>
            </w:pPr>
            <w:r>
              <w:rPr>
                <w:rFonts w:ascii="Times New Roman" w:hAnsi="Times New Roman" w:cs="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Курташкинского сельского поселения Атюрьевского муниципального района Республики Мордовия </w:t>
            </w:r>
          </w:p>
        </w:tc>
      </w:tr>
    </w:tbl>
    <w:p w:rsidR="00A0673F" w:rsidRDefault="00A0673F">
      <w:pPr>
        <w:rPr>
          <w:rFonts w:ascii="Times New Roman" w:hAnsi="Times New Roman" w:cs="Times New Roman"/>
          <w:sz w:val="28"/>
          <w:szCs w:val="28"/>
        </w:rPr>
      </w:pPr>
    </w:p>
    <w:p w:rsidR="00A0673F" w:rsidRDefault="00A0673F">
      <w:pPr>
        <w:pStyle w:val="ConsPlusNormal"/>
        <w:jc w:val="both"/>
      </w:pPr>
    </w:p>
    <w:p w:rsidR="00A0673F" w:rsidRDefault="00A0673F"/>
    <w:sectPr w:rsidR="00A0673F" w:rsidSect="00A0673F">
      <w:headerReference w:type="default" r:id="rId27"/>
      <w:footerReference w:type="default" r:id="rId28"/>
      <w:headerReference w:type="first" r:id="rId29"/>
      <w:footerReference w:type="first" r:id="rId30"/>
      <w:pgSz w:w="11906" w:h="16838"/>
      <w:pgMar w:top="1134" w:right="567" w:bottom="71" w:left="1134"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673F" w:rsidRDefault="00A0673F">
      <w:pPr>
        <w:spacing w:after="0" w:line="240" w:lineRule="auto"/>
      </w:pPr>
      <w:r>
        <w:separator/>
      </w:r>
    </w:p>
  </w:endnote>
  <w:endnote w:type="continuationSeparator" w:id="0">
    <w:p w:rsidR="00A0673F" w:rsidRDefault="00A0673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673F" w:rsidRDefault="00A0673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673F" w:rsidRDefault="00A0673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673F" w:rsidRDefault="00A0673F">
      <w:pPr>
        <w:spacing w:after="0" w:line="240" w:lineRule="auto"/>
      </w:pPr>
      <w:r>
        <w:separator/>
      </w:r>
    </w:p>
  </w:footnote>
  <w:footnote w:type="continuationSeparator" w:id="0">
    <w:p w:rsidR="00A0673F" w:rsidRDefault="00A0673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673F" w:rsidRDefault="00A0673F">
    <w:pPr>
      <w:pStyle w:val="Header"/>
      <w:jc w:val="center"/>
    </w:pPr>
    <w:fldSimple w:instr="PAGE   \* MERGEFORMAT">
      <w:r>
        <w:rPr>
          <w:noProof/>
        </w:rPr>
        <w:t>31</w:t>
      </w:r>
    </w:fldSimple>
  </w:p>
  <w:p w:rsidR="00A0673F" w:rsidRDefault="00A0673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673F" w:rsidRDefault="00A0673F">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0673F"/>
    <w:rsid w:val="00A0673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Hyperlink" w:unhideWhenUsed="0"/>
    <w:lsdException w:name="FollowedHyperlink" w:unhideWhenUsed="0"/>
    <w:lsdException w:name="Strong" w:semiHidden="0"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Calibri" w:hAnsi="Calibri" w:cs="Calibri"/>
      <w:lang w:eastAsia="en-US"/>
    </w:rPr>
  </w:style>
  <w:style w:type="paragraph" w:styleId="Heading1">
    <w:name w:val="heading 1"/>
    <w:basedOn w:val="Normal"/>
    <w:next w:val="Normal"/>
    <w:link w:val="Heading1Char"/>
    <w:uiPriority w:val="99"/>
    <w:qFormat/>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Arial" w:hAnsi="Arial" w:cs="Arial"/>
      <w:b/>
      <w:bCs/>
      <w:color w:val="000080"/>
      <w:sz w:val="20"/>
      <w:szCs w:val="20"/>
      <w:lang w:eastAsia="ru-RU"/>
    </w:rPr>
  </w:style>
  <w:style w:type="paragraph" w:customStyle="1" w:styleId="ConsPlusNormal">
    <w:name w:val="ConsPlusNormal"/>
    <w:uiPriority w:val="99"/>
    <w:pPr>
      <w:widowControl w:val="0"/>
      <w:autoSpaceDE w:val="0"/>
      <w:autoSpaceDN w:val="0"/>
    </w:pPr>
    <w:rPr>
      <w:rFonts w:ascii="Calibri" w:hAnsi="Calibri" w:cs="Calibri"/>
    </w:rPr>
  </w:style>
  <w:style w:type="paragraph" w:customStyle="1" w:styleId="ConsPlusTitle">
    <w:name w:val="ConsPlusTitle"/>
    <w:uiPriority w:val="99"/>
    <w:pPr>
      <w:widowControl w:val="0"/>
      <w:autoSpaceDE w:val="0"/>
      <w:autoSpaceDN w:val="0"/>
    </w:pPr>
    <w:rPr>
      <w:rFonts w:ascii="Calibri" w:hAnsi="Calibri" w:cs="Calibri"/>
      <w:b/>
      <w:bCs/>
    </w:rPr>
  </w:style>
  <w:style w:type="paragraph" w:styleId="Header">
    <w:name w:val="header"/>
    <w:basedOn w:val="Normal"/>
    <w:link w:val="HeaderChar"/>
    <w:uiPriority w:val="99"/>
    <w:pPr>
      <w:tabs>
        <w:tab w:val="center" w:pos="4677"/>
        <w:tab w:val="right" w:pos="9355"/>
      </w:tabs>
      <w:spacing w:after="0" w:line="240" w:lineRule="auto"/>
    </w:pPr>
  </w:style>
  <w:style w:type="character" w:customStyle="1" w:styleId="HeaderChar">
    <w:name w:val="Header Char"/>
    <w:basedOn w:val="DefaultParagraphFont"/>
    <w:link w:val="Header"/>
    <w:uiPriority w:val="99"/>
    <w:rPr>
      <w:rFonts w:ascii="Calibri" w:hAnsi="Calibri" w:cs="Calibri"/>
    </w:rPr>
  </w:style>
  <w:style w:type="paragraph" w:styleId="Footer">
    <w:name w:val="footer"/>
    <w:basedOn w:val="Normal"/>
    <w:link w:val="FooterChar"/>
    <w:uiPriority w:val="99"/>
    <w:pPr>
      <w:tabs>
        <w:tab w:val="center" w:pos="4677"/>
        <w:tab w:val="right" w:pos="9355"/>
      </w:tabs>
      <w:spacing w:after="0" w:line="240" w:lineRule="auto"/>
    </w:pPr>
  </w:style>
  <w:style w:type="character" w:customStyle="1" w:styleId="FooterChar">
    <w:name w:val="Footer Char"/>
    <w:basedOn w:val="DefaultParagraphFont"/>
    <w:link w:val="Footer"/>
    <w:uiPriority w:val="99"/>
    <w:rPr>
      <w:rFonts w:ascii="Calibri" w:hAnsi="Calibri" w:cs="Calibri"/>
    </w:rPr>
  </w:style>
  <w:style w:type="character" w:styleId="Strong">
    <w:name w:val="Strong"/>
    <w:basedOn w:val="DefaultParagraphFont"/>
    <w:uiPriority w:val="99"/>
    <w:qFormat/>
    <w:rPr>
      <w:rFonts w:ascii="Times New Roman" w:hAnsi="Times New Roman" w:cs="Times New Roman"/>
      <w:b/>
      <w:bCs/>
    </w:rPr>
  </w:style>
  <w:style w:type="paragraph" w:styleId="BodyText">
    <w:name w:val="Body Text"/>
    <w:basedOn w:val="Normal"/>
    <w:link w:val="BodyTextChar"/>
    <w:uiPriority w:val="99"/>
    <w:pPr>
      <w:jc w:val="center"/>
    </w:pPr>
    <w:rPr>
      <w:b/>
      <w:bCs/>
      <w:sz w:val="32"/>
      <w:szCs w:val="32"/>
    </w:rPr>
  </w:style>
  <w:style w:type="character" w:customStyle="1" w:styleId="BodyTextChar">
    <w:name w:val="Body Text Char"/>
    <w:basedOn w:val="DefaultParagraphFont"/>
    <w:link w:val="BodyText"/>
    <w:uiPriority w:val="99"/>
    <w:rPr>
      <w:rFonts w:ascii="Calibri" w:hAnsi="Calibri" w:cs="Calibri"/>
      <w:lang w:eastAsia="en-US"/>
    </w:rPr>
  </w:style>
  <w:style w:type="character" w:styleId="Hyperlink">
    <w:name w:val="Hyperlink"/>
    <w:basedOn w:val="DefaultParagraphFont"/>
    <w:uiPriority w:val="99"/>
    <w:rPr>
      <w:rFonts w:ascii="Times New Roman" w:hAnsi="Times New Roman" w:cs="Times New Roman"/>
      <w:color w:val="0000FF"/>
      <w:u w:val="single"/>
    </w:rPr>
  </w:style>
  <w:style w:type="character" w:styleId="FollowedHyperlink">
    <w:name w:val="FollowedHyperlink"/>
    <w:basedOn w:val="DefaultParagraphFont"/>
    <w:uiPriority w:val="99"/>
    <w:rPr>
      <w:rFonts w:ascii="Times New Roman" w:hAnsi="Times New Roman" w:cs="Times New Roman"/>
      <w:color w:val="0000FF"/>
      <w:u w:val="single"/>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paragraph" w:customStyle="1" w:styleId="ConsPlusNonformat">
    <w:name w:val="ConsPlusNonformat"/>
    <w:uiPriority w:val="99"/>
    <w:pPr>
      <w:widowControl w:val="0"/>
      <w:autoSpaceDE w:val="0"/>
      <w:autoSpaceDN w:val="0"/>
    </w:pPr>
    <w:rPr>
      <w:rFonts w:ascii="Courier New" w:hAnsi="Courier New" w:cs="Courier New"/>
      <w:sz w:val="20"/>
      <w:szCs w:val="20"/>
    </w:rPr>
  </w:style>
  <w:style w:type="paragraph" w:customStyle="1" w:styleId="ConsPlusCell">
    <w:name w:val="ConsPlusCell"/>
    <w:uiPriority w:val="99"/>
    <w:pPr>
      <w:widowControl w:val="0"/>
      <w:autoSpaceDE w:val="0"/>
      <w:autoSpaceDN w:val="0"/>
    </w:pPr>
    <w:rPr>
      <w:rFonts w:ascii="Courier New" w:hAnsi="Courier New" w:cs="Courier New"/>
      <w:sz w:val="20"/>
      <w:szCs w:val="20"/>
    </w:rPr>
  </w:style>
  <w:style w:type="paragraph" w:customStyle="1" w:styleId="ConsPlusDocList">
    <w:name w:val="ConsPlusDocList"/>
    <w:uiPriority w:val="99"/>
    <w:pPr>
      <w:widowControl w:val="0"/>
      <w:autoSpaceDE w:val="0"/>
      <w:autoSpaceDN w:val="0"/>
    </w:pPr>
    <w:rPr>
      <w:rFonts w:ascii="Courier New" w:hAnsi="Courier New" w:cs="Courier New"/>
      <w:sz w:val="20"/>
      <w:szCs w:val="20"/>
    </w:rPr>
  </w:style>
  <w:style w:type="paragraph" w:customStyle="1" w:styleId="ConsPlusTitlePage">
    <w:name w:val="ConsPlusTitlePage"/>
    <w:uiPriority w:val="99"/>
    <w:pPr>
      <w:widowControl w:val="0"/>
      <w:autoSpaceDE w:val="0"/>
      <w:autoSpaceDN w:val="0"/>
    </w:pPr>
    <w:rPr>
      <w:rFonts w:ascii="Tahoma" w:hAnsi="Tahoma" w:cs="Tahoma"/>
      <w:sz w:val="20"/>
      <w:szCs w:val="20"/>
    </w:rPr>
  </w:style>
  <w:style w:type="paragraph" w:customStyle="1" w:styleId="ConsPlusJurTerm">
    <w:name w:val="ConsPlusJurTerm"/>
    <w:uiPriority w:val="99"/>
    <w:pPr>
      <w:widowControl w:val="0"/>
      <w:autoSpaceDE w:val="0"/>
      <w:autoSpaceDN w:val="0"/>
    </w:pPr>
    <w:rPr>
      <w:rFonts w:ascii="Tahoma" w:hAnsi="Tahoma" w:cs="Tahoma"/>
      <w:sz w:val="26"/>
      <w:szCs w:val="26"/>
    </w:rPr>
  </w:style>
  <w:style w:type="paragraph" w:customStyle="1" w:styleId="ConsPlusTextList">
    <w:name w:val="ConsPlusTextList"/>
    <w:uiPriority w:val="99"/>
    <w:pPr>
      <w:widowControl w:val="0"/>
      <w:autoSpaceDE w:val="0"/>
      <w:autoSpaceDN w:val="0"/>
    </w:pPr>
    <w:rPr>
      <w:rFonts w:ascii="Arial" w:hAnsi="Arial" w:cs="Arial"/>
      <w:sz w:val="20"/>
      <w:szCs w:val="20"/>
    </w:rPr>
  </w:style>
  <w:style w:type="paragraph" w:customStyle="1" w:styleId="a">
    <w:name w:val="Знак"/>
    <w:basedOn w:val="Normal"/>
    <w:uiPriority w:val="99"/>
    <w:pPr>
      <w:spacing w:after="0" w:line="240" w:lineRule="auto"/>
    </w:pPr>
    <w:rPr>
      <w:rFonts w:ascii="Verdana" w:hAnsi="Verdana" w:cs="Verdana"/>
      <w:sz w:val="20"/>
      <w:szCs w:val="20"/>
      <w:lang w:val="en-US"/>
    </w:rPr>
  </w:style>
  <w:style w:type="paragraph" w:customStyle="1" w:styleId="1">
    <w:name w:val="Знак1 Знак Знак Знак Знак Знак Знак Знак Знак Знак"/>
    <w:basedOn w:val="Normal"/>
    <w:next w:val="Normal"/>
    <w:uiPriority w:val="99"/>
    <w:pPr>
      <w:spacing w:after="160" w:line="240" w:lineRule="atLeast"/>
    </w:pPr>
    <w:rPr>
      <w:rFonts w:ascii="Arial" w:hAnsi="Arial" w:cs="Arial"/>
      <w:sz w:val="20"/>
      <w:szCs w:val="20"/>
      <w:lang w:val="en-US"/>
    </w:rPr>
  </w:style>
  <w:style w:type="character" w:customStyle="1" w:styleId="Heading1Char1">
    <w:name w:val="Heading 1 Char1"/>
    <w:basedOn w:val="DefaultParagraphFont"/>
    <w:uiPriority w:val="99"/>
    <w:rPr>
      <w:rFonts w:ascii="Arial" w:hAnsi="Arial" w:cs="Arial"/>
      <w:b/>
      <w:bCs/>
      <w:color w:val="000080"/>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E5D5B855E5667ABADA1304C1321E2421B9BF14EAE4484C0FBA38126D11UBL" TargetMode="External"/><Relationship Id="rId13" Type="http://schemas.openxmlformats.org/officeDocument/2006/relationships/hyperlink" Target="consultantplus://offline/ref=95E5D5B855E5667ABADA1304C1321E2421B9BF14EAE4484C0FBA38126D11UBL" TargetMode="External"/><Relationship Id="rId18" Type="http://schemas.openxmlformats.org/officeDocument/2006/relationships/hyperlink" Target="consultantplus://offline/ref=95E5D5B855E5667ABADA1304C1321E2421B9BF14EAE4484C0FBA38126D11UBL" TargetMode="External"/><Relationship Id="rId26" Type="http://schemas.openxmlformats.org/officeDocument/2006/relationships/hyperlink" Target="file:///D:/&#1053;&#1055;&#1040;&#1055;&#1086;&#1089;&#1090;&#1072;&#1085;&#1086;&#1074;&#1083;&#1077;&#1085;&#1080;&#1103;%202018%2522%20l" TargetMode="External"/><Relationship Id="rId3" Type="http://schemas.openxmlformats.org/officeDocument/2006/relationships/webSettings" Target="webSettings.xml"/><Relationship Id="rId21" Type="http://schemas.openxmlformats.org/officeDocument/2006/relationships/hyperlink" Target="file:///D:/&#1053;&#1055;&#1040;&#1055;&#1086;&#1089;&#1090;&#1072;&#1085;&#1086;&#1074;&#1083;&#1077;&#1085;&#1080;&#1103;%202018%2522%20l" TargetMode="External"/><Relationship Id="rId7" Type="http://schemas.openxmlformats.org/officeDocument/2006/relationships/hyperlink" Target="consultantplus://offline/ref=95E5D5B855E5667ABADA1304C1321E2420B0B811E6EE484C0FBA38126D1BA52D84B34AAF5FC913U4L" TargetMode="External"/><Relationship Id="rId12" Type="http://schemas.openxmlformats.org/officeDocument/2006/relationships/hyperlink" Target="consultantplus://offline/ref=95E5D5B855E5667ABADA1304C1321E2421B8BA14EFE8484C0FBA38126D1BA52D84B34AAC5AC0331D1BU2L" TargetMode="External"/><Relationship Id="rId17" Type="http://schemas.openxmlformats.org/officeDocument/2006/relationships/hyperlink" Target="consultantplus://offline/ref=95E5D5B855E5667ABADA1304C1321E2421B8BA14EFE8484C0FBA38126D1BA52D84B34AAC5AC032141BU1L" TargetMode="External"/><Relationship Id="rId25" Type="http://schemas.openxmlformats.org/officeDocument/2006/relationships/hyperlink" Target="file:///D:/&#1053;&#1055;&#1040;&#1055;&#1086;&#1089;&#1090;&#1072;&#1085;&#1086;&#1074;&#1083;&#1077;&#1085;&#1080;&#1103;%202018%2522%20l" TargetMode="External"/><Relationship Id="rId2" Type="http://schemas.openxmlformats.org/officeDocument/2006/relationships/settings" Target="settings.xml"/><Relationship Id="rId16" Type="http://schemas.openxmlformats.org/officeDocument/2006/relationships/hyperlink" Target="consultantplus://offline/ref=95E5D5B855E5667ABADA1304C1321E2421B9BF14EAE4484C0FBA38126D11UBL" TargetMode="External"/><Relationship Id="rId20" Type="http://schemas.openxmlformats.org/officeDocument/2006/relationships/hyperlink" Target="file:///D:/&#1053;&#1055;&#1040;&#1055;&#1086;&#1089;&#1090;&#1072;&#1085;&#1086;&#1074;&#1083;&#1077;&#1085;&#1080;&#1103;%202018%2522%20l" TargetMode="External"/><Relationship Id="rId29" Type="http://schemas.openxmlformats.org/officeDocument/2006/relationships/header" Target="header2.xml"/><Relationship Id="rId1" Type="http://schemas.openxmlformats.org/officeDocument/2006/relationships/styles" Target="styles.xml"/><Relationship Id="rId6" Type="http://schemas.openxmlformats.org/officeDocument/2006/relationships/hyperlink" Target="consultantplus://offline/ref=8DECB31281443523EA2F87C12FD6AD603048002E6C39D01A208A08A23EEA4D0DF4D1988950ECa4U5F" TargetMode="External"/><Relationship Id="rId11" Type="http://schemas.openxmlformats.org/officeDocument/2006/relationships/hyperlink" Target="consultantplus://offline/ref=95E5D5B855E5667ABADA1304C1321E2421B9BF14EAE4484C0FBA38126D11UBL" TargetMode="External"/><Relationship Id="rId24" Type="http://schemas.openxmlformats.org/officeDocument/2006/relationships/hyperlink" Target="file:///D:/&#1053;&#1055;&#1040;&#1055;&#1086;&#1089;&#1090;&#1072;&#1085;&#1086;&#1074;&#1083;&#1077;&#1085;&#1080;&#1103;%202018%2522%20l"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consultantplus://offline/ref=95E5D5B855E5667ABADA1304C1321E2421B9BF14EAE4484C0FBA38126D11UBL" TargetMode="External"/><Relationship Id="rId23" Type="http://schemas.openxmlformats.org/officeDocument/2006/relationships/hyperlink" Target="file:///D:/&#1053;&#1055;&#1040;&#1055;&#1086;&#1089;&#1090;&#1072;&#1085;&#1086;&#1074;&#1083;&#1077;&#1085;&#1080;&#1103;%202018%2522%20l" TargetMode="External"/><Relationship Id="rId28" Type="http://schemas.openxmlformats.org/officeDocument/2006/relationships/footer" Target="footer1.xml"/><Relationship Id="rId10" Type="http://schemas.openxmlformats.org/officeDocument/2006/relationships/hyperlink" Target="consultantplus://offline/ref=95E5D5B855E5667ABADA1304C1321E2421B0B818EEEE484C0FBA38126D1BA52D84B34AAC5AC133171BU0L" TargetMode="External"/><Relationship Id="rId19" Type="http://schemas.openxmlformats.org/officeDocument/2006/relationships/hyperlink" Target="file:///D:/&#1053;&#1055;&#1040;&#1055;&#1086;&#1089;&#1090;&#1072;&#1085;&#1086;&#1074;&#1083;&#1077;&#1085;&#1080;&#1103;%202018%2522%20l"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consultantplus://offline/ref=95E5D5B855E5667ABADA1304C1321E2421B9BF14EAE4484C0FBA38126D11UBL" TargetMode="External"/><Relationship Id="rId14" Type="http://schemas.openxmlformats.org/officeDocument/2006/relationships/hyperlink" Target="consultantplus://offline/ref=95E5D5B855E5667ABADA1304C1321E2421B8BA14EFE8484C0FBA38126D1BA52D84B34AA9521CU2L" TargetMode="External"/><Relationship Id="rId22" Type="http://schemas.openxmlformats.org/officeDocument/2006/relationships/hyperlink" Target="file:///D:/&#1053;&#1055;&#1040;&#1055;&#1086;&#1089;&#1090;&#1072;&#1085;&#1086;&#1074;&#1083;&#1077;&#1085;&#1080;&#1103;%202018%2522%20l" TargetMode="External"/><Relationship Id="rId27" Type="http://schemas.openxmlformats.org/officeDocument/2006/relationships/header" Target="header1.xm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31</Pages>
  <Words>10408</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Антон Здоров</dc:creator>
  <cp:keywords/>
  <dc:description/>
  <cp:lastModifiedBy>1</cp:lastModifiedBy>
  <cp:revision>2</cp:revision>
  <cp:lastPrinted>2019-05-28T16:22:00Z</cp:lastPrinted>
  <dcterms:created xsi:type="dcterms:W3CDTF">2020-09-17T12:24:00Z</dcterms:created>
  <dcterms:modified xsi:type="dcterms:W3CDTF">2020-09-17T12:24:00Z</dcterms:modified>
</cp:coreProperties>
</file>