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80" w:before="80"/>
        <w:ind w:firstLine="0" w:left="0" w:right="0"/>
      </w:pPr>
      <w:r>
        <w:rPr>
          <w:b w:val="1"/>
          <w:sz w:val="48"/>
        </w:rPr>
        <w:t>Сведения о трудовой деятельности - в Личном кабинете ПФР</w:t>
      </w:r>
    </w:p>
    <w:p w14:paraId="02000000">
      <w:pPr>
        <w:spacing w:after="100" w:before="100"/>
        <w:ind w:firstLine="0" w:left="0" w:right="0"/>
      </w:pPr>
      <w:r>
        <w:rPr>
          <w:b w:val="1"/>
          <w:sz w:val="28"/>
        </w:rPr>
        <w:t>08 апреля 2020 15:25</w:t>
      </w:r>
      <w:r>
        <w:t>В Личном кабинете гражданина на сайте ПФР работает электронный сервис, через который можно ознакомиться с информацией о своей трудовой деятельности.</w:t>
      </w:r>
      <w:r>
        <w:t>Данный сервис на сегодняшний день доступен для тех граждан, в отношении которых в текущем году были произведены какие-либо кадровые изменения. Сведения о кадровых перемещениях доступны начиная с 1 января 2020 года.</w:t>
      </w:r>
      <w:r>
        <w:t>Сформировать сведения о трудовой деятельности в разделе Личного кабинета «Электронная трудовая книжка» можно в режиме онлайн, а также сохранить документ в pdf - формате. Результат оказания услуги будет доступен для просмотра в разделе «История обращений».</w:t>
      </w:r>
      <w:r>
        <w:t>Для того, чтобы воспользоваться данной услугой, необходимо иметь подтвержденную учетную запись в Единой системе идентификации и аутентификации (ЕСИА).</w:t>
      </w:r>
      <w:r>
        <w:t>Напомним, что сведения о трудовой деятельности, предоставляемые гражданам из информационных ресурсов ПФР, формируются на основании отчётности работодателей, поданной в отношении своих работников за отчётные периоды с 1 января 2020 года.</w:t>
      </w:r>
      <w:r>
        <w:t>Работодатели направляют в органы ПФР сведения о трудовой деятельности на тех работников, у которых были проведены какие-либо кадровые мероприятия. Например: прием на работу (службу); перевод на другую постоянную работу; увольнение с работы; переименование организации; установление (присвоение) второй профессии, специальности, иной квалификации, разряда, класса и т.д.</w:t>
      </w:r>
      <w:r>
        <w:t>Кроме того, работодатели представляют сведения в случае подачи работником письменного заявления о выбранном способе ведения трудовой книжки: в электронном или бумажном.</w:t>
      </w:r>
    </w:p>
    <w:p w14:paraId="03000000">
      <w:pPr>
        <w:ind w:firstLine="567" w:left="-851"/>
        <w:jc w:val="both"/>
        <w:rPr>
          <w:rFonts w:ascii="Times New Roman" w:hAnsi="Times New Roman"/>
          <w:sz w:val="28"/>
        </w:rPr>
      </w:pPr>
    </w:p>
    <w:p w14:paraId="04000000">
      <w:pPr>
        <w:ind w:firstLine="0" w:left="-851"/>
        <w:jc w:val="both"/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ext-highlight"/>
    <w:basedOn w:val="Style_5"/>
    <w:link w:val="Style_4_ch"/>
  </w:style>
  <w:style w:styleId="Style_4_ch" w:type="character">
    <w:name w:val="text-highlight"/>
    <w:basedOn w:val="Style_5_ch"/>
    <w:link w:val="Style_4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Strong"/>
    <w:basedOn w:val="Style_5"/>
    <w:link w:val="Style_9_ch"/>
    <w:rPr>
      <w:b w:val="1"/>
    </w:rPr>
  </w:style>
  <w:style w:styleId="Style_9_ch" w:type="character">
    <w:name w:val="Strong"/>
    <w:basedOn w:val="Style_5_ch"/>
    <w:link w:val="Style_9"/>
    <w:rPr>
      <w:b w:val="1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Normal (Web)"/>
    <w:basedOn w:val="Style_1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