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 w:firstLine="0" w:left="-851"/>
        <w:jc w:val="both"/>
        <w:rPr>
          <w:rStyle w:val="Style_2_ch"/>
          <w:sz w:val="28"/>
        </w:rPr>
      </w:pPr>
      <w:r>
        <w:rPr>
          <w:rStyle w:val="Style_2_ch"/>
          <w:sz w:val="28"/>
        </w:rPr>
        <w:t>Гражданам, получающим пенсии  через кредитные учреждения, выплаты по линии ПФР профинансированы досрочно.</w:t>
      </w:r>
    </w:p>
    <w:p w14:paraId="02000000">
      <w:pPr>
        <w:pStyle w:val="Style_1"/>
        <w:ind w:firstLine="567" w:left="-851"/>
        <w:jc w:val="both"/>
        <w:rPr>
          <w:rStyle w:val="Style_2_ch"/>
          <w:b w:val="0"/>
          <w:sz w:val="28"/>
        </w:rPr>
      </w:pPr>
      <w:r>
        <w:rPr>
          <w:rStyle w:val="Style_2_ch"/>
          <w:b w:val="0"/>
          <w:sz w:val="28"/>
        </w:rPr>
        <w:t xml:space="preserve">Пенсионным фондом принято решение о досрочном финансировании апрельских выплат через кредитные организации.  </w:t>
      </w:r>
    </w:p>
    <w:p w14:paraId="03000000">
      <w:pPr>
        <w:ind w:firstLine="567" w:left="-851"/>
        <w:jc w:val="both"/>
        <w:rPr>
          <w:rStyle w:val="Style_3_ch"/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Гражданам, получающим пенсию и иные социальные выплаты </w:t>
      </w:r>
      <w:r>
        <w:rPr>
          <w:rStyle w:val="Style_3_ch"/>
          <w:rFonts w:ascii="Times New Roman" w:hAnsi="Times New Roman"/>
          <w:sz w:val="28"/>
        </w:rPr>
        <w:t>через банки в первой декаде (т</w:t>
      </w:r>
      <w:r>
        <w:rPr>
          <w:rStyle w:val="Style_3_ch"/>
          <w:rFonts w:ascii="Times New Roman" w:hAnsi="Times New Roman"/>
          <w:sz w:val="28"/>
        </w:rPr>
        <w:t>.</w:t>
      </w:r>
      <w:r>
        <w:rPr>
          <w:rStyle w:val="Style_3_ch"/>
          <w:rFonts w:ascii="Times New Roman" w:hAnsi="Times New Roman"/>
          <w:sz w:val="28"/>
        </w:rPr>
        <w:t>е</w:t>
      </w:r>
      <w:r>
        <w:rPr>
          <w:rStyle w:val="Style_3_ch"/>
          <w:rFonts w:ascii="Times New Roman" w:hAnsi="Times New Roman"/>
          <w:sz w:val="28"/>
        </w:rPr>
        <w:t>.</w:t>
      </w:r>
      <w:r>
        <w:rPr>
          <w:rStyle w:val="Style_3_ch"/>
          <w:rFonts w:ascii="Times New Roman" w:hAnsi="Times New Roman"/>
          <w:sz w:val="28"/>
        </w:rPr>
        <w:t xml:space="preserve"> до 10 апреля)  средства были перечислены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 xml:space="preserve"> 27 марта.</w:t>
      </w:r>
    </w:p>
    <w:p w14:paraId="04000000">
      <w:pPr>
        <w:pStyle w:val="Style_1"/>
        <w:ind w:firstLine="567" w:left="-851"/>
        <w:jc w:val="both"/>
        <w:rPr>
          <w:sz w:val="28"/>
        </w:rPr>
      </w:pPr>
      <w:r>
        <w:rPr>
          <w:sz w:val="28"/>
        </w:rPr>
        <w:t>Получатели пенсий, выплаты которым производятся во второй и третьей декадах месяца (после 10 числа) также уже могут их получить. Вчера,  9 апреля,  Отделение Пенсионного фонда по Республике Мордовия перечислило  средства в</w:t>
      </w:r>
      <w:r>
        <w:rPr>
          <w:sz w:val="28"/>
        </w:rPr>
        <w:t xml:space="preserve"> банки</w:t>
      </w:r>
      <w:r>
        <w:rPr>
          <w:sz w:val="28"/>
        </w:rPr>
        <w:t>.</w:t>
      </w:r>
      <w:r>
        <w:rPr>
          <w:sz w:val="28"/>
        </w:rPr>
        <w:t xml:space="preserve"> То есть апрельские пенсии и </w:t>
      </w:r>
      <w:r>
        <w:rPr>
          <w:sz w:val="28"/>
        </w:rPr>
        <w:t>иные выплаты, проводимые через кредитные организации профинансированы</w:t>
      </w:r>
      <w:r>
        <w:rPr>
          <w:sz w:val="28"/>
        </w:rPr>
        <w:t xml:space="preserve"> полностью.</w:t>
      </w:r>
    </w:p>
    <w:p w14:paraId="05000000">
      <w:pPr>
        <w:pStyle w:val="Style_1"/>
        <w:ind w:firstLine="567" w:left="-851"/>
        <w:jc w:val="both"/>
        <w:rPr>
          <w:sz w:val="28"/>
        </w:rPr>
      </w:pPr>
      <w:r>
        <w:rPr>
          <w:sz w:val="28"/>
        </w:rPr>
        <w:t xml:space="preserve">Что касается досрочной выплаты апрельских пенсий, получаемых гражданами через почтовые отделения, то они также доставляются досрочно. Так, в городах Саранск и Рузаевка доставка пенсий и иных выплат по линии ПФР завершится 11 апреля.  В остальных городах и сельских населенных пунктах почтальоны принесут выплаты до 15 апреля. </w:t>
      </w:r>
    </w:p>
    <w:p w14:paraId="06000000">
      <w:pPr>
        <w:pStyle w:val="Style_1"/>
        <w:ind w:firstLine="567" w:left="-851"/>
        <w:jc w:val="both"/>
        <w:rPr>
          <w:sz w:val="28"/>
        </w:rPr>
      </w:pPr>
      <w:r>
        <w:rPr>
          <w:sz w:val="28"/>
        </w:rPr>
        <w:t xml:space="preserve">Обращаем внимание, что самим на почту ходить не нужно, все, что требуется от получателей выплат  - беречь себя, находиться дома и дождаться работников Почты. </w:t>
      </w:r>
    </w:p>
    <w:p w14:paraId="07000000">
      <w:pPr>
        <w:pStyle w:val="Style_1"/>
        <w:ind w:firstLine="567" w:left="-851"/>
        <w:jc w:val="both"/>
        <w:rPr>
          <w:color w:val="000000"/>
          <w:sz w:val="28"/>
        </w:rPr>
      </w:pPr>
      <w:r>
        <w:rPr>
          <w:sz w:val="28"/>
        </w:rPr>
        <w:t xml:space="preserve">Напоминаем, что вместе с апрельской пенсий, ветераны войны и приравненные к ним лица, в том числе и труженики </w:t>
      </w:r>
      <w:r>
        <w:rPr>
          <w:sz w:val="28"/>
        </w:rPr>
        <w:t>тыла</w:t>
      </w:r>
      <w:r>
        <w:rPr>
          <w:sz w:val="28"/>
        </w:rPr>
        <w:t xml:space="preserve"> получат </w:t>
      </w:r>
      <w:r>
        <w:rPr>
          <w:color w:val="000000"/>
          <w:sz w:val="28"/>
        </w:rPr>
        <w:t>единовременные выплаты  к 75-летию Победы в Великой Отечественной войне</w:t>
      </w:r>
      <w:r>
        <w:rPr>
          <w:color w:val="000000"/>
          <w:sz w:val="28"/>
        </w:rPr>
        <w:t>. Право на такую выплату в Мордовии имеют более 7 тысяч человек.</w:t>
      </w:r>
    </w:p>
    <w:p w14:paraId="08000000">
      <w:pPr>
        <w:ind w:firstLine="567" w:left="-851"/>
        <w:jc w:val="both"/>
        <w:rPr>
          <w:rFonts w:ascii="Times New Roman" w:hAnsi="Times New Roman"/>
          <w:sz w:val="28"/>
        </w:rPr>
      </w:pPr>
    </w:p>
    <w:p w14:paraId="09000000">
      <w:pPr>
        <w:ind w:firstLine="0" w:left="-851"/>
        <w:jc w:val="both"/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1" w:type="paragraph">
    <w:name w:val="Normal (Web)"/>
    <w:basedOn w:val="Style_4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4_ch"/>
    <w:link w:val="Style_1"/>
    <w:rPr>
      <w:rFonts w:ascii="Times New Roman" w:hAnsi="Times New Roman"/>
      <w:sz w:val="24"/>
    </w:rPr>
  </w:style>
  <w:style w:styleId="Style_9" w:type="paragraph">
    <w:name w:val="heading 3"/>
    <w:next w:val="Style_4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" w:type="paragraph">
    <w:name w:val="Strong"/>
    <w:basedOn w:val="Style_10"/>
    <w:link w:val="Style_2_ch"/>
    <w:rPr>
      <w:b w:val="1"/>
    </w:rPr>
  </w:style>
  <w:style w:styleId="Style_2_ch" w:type="character">
    <w:name w:val="Strong"/>
    <w:basedOn w:val="Style_10_ch"/>
    <w:link w:val="Style_2"/>
    <w:rPr>
      <w:b w:val="1"/>
    </w:rPr>
  </w:style>
  <w:style w:styleId="Style_3" w:type="paragraph">
    <w:name w:val="text-highlight"/>
    <w:basedOn w:val="Style_10"/>
    <w:link w:val="Style_3_ch"/>
  </w:style>
  <w:style w:styleId="Style_3_ch" w:type="character">
    <w:name w:val="text-highlight"/>
    <w:basedOn w:val="Style_10_ch"/>
    <w:link w:val="Style_3"/>
  </w:style>
  <w:style w:styleId="Style_11" w:type="paragraph">
    <w:name w:val="toc 3"/>
    <w:next w:val="Style_4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4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4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4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4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4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4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4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4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