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ind w:firstLine="425" w:left="-567" w:right="67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В Мордовии подписаны соглашения, упрощающие оформления кредитов для владельцев сертификатов на материнский капитал </w:t>
      </w:r>
    </w:p>
    <w:p w14:paraId="02000000">
      <w:pPr>
        <w:ind w:firstLine="425" w:left="-567" w:right="67"/>
        <w:jc w:val="both"/>
        <w:rPr>
          <w:rFonts w:ascii="Times New Roman" w:hAnsi="Times New Roman"/>
          <w:sz w:val="28"/>
        </w:rPr>
      </w:pPr>
    </w:p>
    <w:p w14:paraId="03000000">
      <w:pPr>
        <w:ind w:firstLine="425" w:left="-567" w:right="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Отделение Пенсионного фонда Р</w:t>
      </w:r>
      <w:r>
        <w:rPr>
          <w:rFonts w:ascii="Times New Roman" w:hAnsi="Times New Roman"/>
          <w:sz w:val="28"/>
        </w:rPr>
        <w:t xml:space="preserve">оссии по Республике Мордовия </w:t>
      </w:r>
      <w:r>
        <w:rPr>
          <w:rFonts w:ascii="Times New Roman" w:hAnsi="Times New Roman"/>
          <w:sz w:val="28"/>
        </w:rPr>
        <w:t xml:space="preserve">заключило соглашения об информационном взаимодействии с </w:t>
      </w:r>
      <w:r>
        <w:rPr>
          <w:rFonts w:ascii="Times New Roman" w:hAnsi="Times New Roman"/>
          <w:sz w:val="28"/>
        </w:rPr>
        <w:t>тремя</w:t>
      </w:r>
      <w:r>
        <w:rPr>
          <w:rFonts w:ascii="Times New Roman" w:hAnsi="Times New Roman"/>
          <w:sz w:val="28"/>
        </w:rPr>
        <w:t xml:space="preserve"> кредитными организациями </w:t>
      </w:r>
      <w:r>
        <w:rPr>
          <w:rFonts w:ascii="Times New Roman" w:hAnsi="Times New Roman"/>
          <w:sz w:val="28"/>
        </w:rPr>
        <w:t xml:space="preserve">республики </w:t>
      </w:r>
      <w:r>
        <w:rPr>
          <w:rFonts w:ascii="Times New Roman" w:hAnsi="Times New Roman"/>
          <w:sz w:val="28"/>
        </w:rPr>
        <w:t xml:space="preserve">по </w:t>
      </w:r>
      <w:r>
        <w:rPr>
          <w:rFonts w:ascii="Times New Roman" w:hAnsi="Times New Roman"/>
          <w:sz w:val="28"/>
        </w:rPr>
        <w:t xml:space="preserve">приему заявлений о распоряжении средствами материнского (семейного) капитала на уплату первоначального взноса или погашение основного долга по кредиту. В частности соглашения подписаны с  </w:t>
      </w:r>
      <w:r>
        <w:rPr>
          <w:rFonts w:ascii="Times New Roman" w:hAnsi="Times New Roman"/>
          <w:sz w:val="28"/>
        </w:rPr>
        <w:t>Мордовским Отделением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№8589 ПАО Сбербанк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АККСБ «КС БАНК» (ПАО)</w:t>
      </w:r>
      <w:r>
        <w:rPr>
          <w:rFonts w:ascii="Times New Roman" w:hAnsi="Times New Roman"/>
          <w:sz w:val="28"/>
        </w:rPr>
        <w:t xml:space="preserve">  и </w:t>
      </w:r>
      <w:r>
        <w:rPr>
          <w:rFonts w:ascii="Times New Roman" w:hAnsi="Times New Roman"/>
          <w:sz w:val="28"/>
        </w:rPr>
        <w:t>АКБ «АКТИВ БАНК» (ПАО)</w:t>
      </w:r>
      <w:r>
        <w:rPr>
          <w:rFonts w:ascii="Times New Roman" w:hAnsi="Times New Roman"/>
          <w:sz w:val="28"/>
        </w:rPr>
        <w:t>.</w:t>
      </w:r>
    </w:p>
    <w:p w14:paraId="04000000">
      <w:pPr>
        <w:ind w:firstLine="425" w:left="-567" w:right="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Такое межведомственное сотрудничество </w:t>
      </w:r>
      <w:r>
        <w:rPr>
          <w:rFonts w:ascii="Times New Roman" w:hAnsi="Times New Roman"/>
          <w:sz w:val="28"/>
        </w:rPr>
        <w:t>позвол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т семьям Мордовии </w:t>
      </w:r>
      <w:r>
        <w:rPr>
          <w:rFonts w:ascii="Times New Roman" w:hAnsi="Times New Roman"/>
          <w:sz w:val="28"/>
        </w:rPr>
        <w:t>упростить процедуру распоряжения материнским капиталом на самое востребованное направление – улучшение жилищных условий с привлечением кредитных средств.</w:t>
      </w:r>
    </w:p>
    <w:p w14:paraId="05000000">
      <w:pPr>
        <w:pStyle w:val="Style_1"/>
        <w:spacing w:line="276" w:lineRule="auto"/>
        <w:ind w:firstLine="425" w:left="-567"/>
        <w:jc w:val="both"/>
        <w:rPr>
          <w:rStyle w:val="Style_2_ch"/>
          <w:sz w:val="28"/>
        </w:rPr>
      </w:pPr>
      <w:r>
        <w:rPr>
          <w:sz w:val="28"/>
        </w:rPr>
        <w:t>То есть</w:t>
      </w:r>
      <w:r>
        <w:rPr>
          <w:sz w:val="28"/>
        </w:rPr>
        <w:t xml:space="preserve">, теперь </w:t>
      </w:r>
      <w:r>
        <w:rPr>
          <w:sz w:val="28"/>
        </w:rPr>
        <w:t xml:space="preserve">подать заявление об оплате </w:t>
      </w:r>
      <w:r>
        <w:rPr>
          <w:sz w:val="28"/>
        </w:rPr>
        <w:t xml:space="preserve">средствами </w:t>
      </w:r>
      <w:r>
        <w:rPr>
          <w:sz w:val="28"/>
        </w:rPr>
        <w:t xml:space="preserve">материнским </w:t>
      </w:r>
      <w:r>
        <w:rPr>
          <w:sz w:val="28"/>
        </w:rPr>
        <w:t xml:space="preserve">(семейным) </w:t>
      </w:r>
      <w:r>
        <w:rPr>
          <w:sz w:val="28"/>
        </w:rPr>
        <w:t xml:space="preserve">капиталом кредита на покупку или строительство жилья, </w:t>
      </w:r>
      <w:r>
        <w:rPr>
          <w:sz w:val="28"/>
        </w:rPr>
        <w:t xml:space="preserve">а также на </w:t>
      </w:r>
      <w:r>
        <w:rPr>
          <w:sz w:val="28"/>
        </w:rPr>
        <w:t xml:space="preserve"> уплату первоначального взноса по кредиту, можно будет сразу в банке, в котором семья оформляет кредит. То есть</w:t>
      </w:r>
      <w:r>
        <w:rPr>
          <w:sz w:val="28"/>
        </w:rPr>
        <w:t xml:space="preserve">, семье уже не нужно будет обращаться </w:t>
      </w:r>
      <w:r>
        <w:rPr>
          <w:sz w:val="28"/>
        </w:rPr>
        <w:t xml:space="preserve"> в Пенсионный фонд</w:t>
      </w:r>
      <w:r>
        <w:rPr>
          <w:sz w:val="28"/>
        </w:rPr>
        <w:t>. Достаточно обратиться в</w:t>
      </w:r>
      <w:r>
        <w:rPr>
          <w:sz w:val="28"/>
        </w:rPr>
        <w:t xml:space="preserve"> банк</w:t>
      </w:r>
      <w:r>
        <w:rPr>
          <w:sz w:val="28"/>
        </w:rPr>
        <w:t xml:space="preserve">, где </w:t>
      </w:r>
      <w:r>
        <w:rPr>
          <w:rStyle w:val="Style_2_ch"/>
          <w:i w:val="0"/>
          <w:sz w:val="28"/>
        </w:rPr>
        <w:t>одновременно оформят кредит и подадут заявление на распоряжение материнским капиталом в части улучшения жилищных услови</w:t>
      </w:r>
      <w:r>
        <w:rPr>
          <w:rStyle w:val="Style_2_ch"/>
          <w:i w:val="0"/>
          <w:sz w:val="28"/>
        </w:rPr>
        <w:t>й</w:t>
      </w:r>
      <w:r>
        <w:rPr>
          <w:rStyle w:val="Style_2_ch"/>
          <w:i w:val="0"/>
          <w:sz w:val="28"/>
        </w:rPr>
        <w:t xml:space="preserve"> </w:t>
      </w:r>
      <w:r>
        <w:rPr>
          <w:rStyle w:val="Style_2_ch"/>
          <w:sz w:val="28"/>
        </w:rPr>
        <w:t>(</w:t>
      </w:r>
      <w:r>
        <w:rPr>
          <w:rStyle w:val="Style_2_ch"/>
          <w:sz w:val="28"/>
        </w:rPr>
        <w:t>с привлечением кредитных средств</w:t>
      </w:r>
      <w:r>
        <w:rPr>
          <w:rStyle w:val="Style_2_ch"/>
          <w:sz w:val="28"/>
        </w:rPr>
        <w:t>)</w:t>
      </w:r>
      <w:r>
        <w:rPr>
          <w:rStyle w:val="Style_2_ch"/>
          <w:sz w:val="28"/>
        </w:rPr>
        <w:t>.</w:t>
      </w:r>
    </w:p>
    <w:p w14:paraId="06000000">
      <w:pPr>
        <w:pStyle w:val="Style_1"/>
        <w:spacing w:line="276" w:lineRule="auto"/>
        <w:ind w:firstLine="425"/>
        <w:jc w:val="both"/>
        <w:rPr>
          <w:rStyle w:val="Style_2_ch"/>
          <w:sz w:val="28"/>
        </w:rPr>
      </w:pPr>
    </w:p>
    <w:p w14:paraId="07000000">
      <w:pPr>
        <w:rPr>
          <w:rFonts w:ascii="Times New Roman" w:hAnsi="Times New Roman"/>
          <w:sz w:val="28"/>
        </w:rPr>
      </w:pPr>
    </w:p>
    <w:p w14:paraId="08000000"/>
    <w:p w14:paraId="09000000">
      <w:pPr>
        <w:pStyle w:val="Style_1"/>
        <w:rPr>
          <w:rStyle w:val="Style_3_ch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4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3" w:type="paragraph">
    <w:name w:val="Strong"/>
    <w:basedOn w:val="Style_10"/>
    <w:link w:val="Style_3_ch"/>
    <w:rPr>
      <w:b w:val="1"/>
    </w:rPr>
  </w:style>
  <w:style w:styleId="Style_3_ch" w:type="character">
    <w:name w:val="Strong"/>
    <w:basedOn w:val="Style_10_ch"/>
    <w:link w:val="Style_3"/>
    <w:rPr>
      <w:b w:val="1"/>
    </w:rPr>
  </w:style>
  <w:style w:styleId="Style_11" w:type="paragraph">
    <w:name w:val="Обычный отступ1"/>
    <w:basedOn w:val="Style_4"/>
    <w:link w:val="Style_11_ch"/>
    <w:pPr>
      <w:spacing w:after="0" w:line="360" w:lineRule="auto"/>
      <w:ind w:firstLine="624"/>
      <w:jc w:val="both"/>
    </w:pPr>
    <w:rPr>
      <w:rFonts w:ascii="Times New Roman" w:hAnsi="Times New Roman"/>
      <w:sz w:val="26"/>
    </w:rPr>
  </w:style>
  <w:style w:styleId="Style_11_ch" w:type="character">
    <w:name w:val="Обычный отступ1"/>
    <w:basedOn w:val="Style_4_ch"/>
    <w:link w:val="Style_11"/>
    <w:rPr>
      <w:rFonts w:ascii="Times New Roman" w:hAnsi="Times New Roman"/>
      <w:sz w:val="26"/>
    </w:rPr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basedOn w:val="Style_4"/>
    <w:link w:val="Style_14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4_ch" w:type="character">
    <w:name w:val="heading 1"/>
    <w:basedOn w:val="Style_4_ch"/>
    <w:link w:val="Style_14"/>
    <w:rPr>
      <w:rFonts w:ascii="Times New Roman" w:hAnsi="Times New Roman"/>
      <w:b w:val="1"/>
      <w:sz w:val="48"/>
    </w:rPr>
  </w:style>
  <w:style w:styleId="Style_1" w:type="paragraph">
    <w:name w:val="Normal (Web)"/>
    <w:basedOn w:val="Style_4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4_ch"/>
    <w:link w:val="Style_1"/>
    <w:rPr>
      <w:rFonts w:ascii="Times New Roman" w:hAnsi="Times New Roman"/>
      <w:sz w:val="24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" w:type="paragraph">
    <w:name w:val="Emphasis"/>
    <w:basedOn w:val="Style_10"/>
    <w:link w:val="Style_2_ch"/>
    <w:rPr>
      <w:i w:val="1"/>
    </w:rPr>
  </w:style>
  <w:style w:styleId="Style_2_ch" w:type="character">
    <w:name w:val="Emphasis"/>
    <w:basedOn w:val="Style_10_ch"/>
    <w:link w:val="Style_2"/>
    <w:rPr>
      <w:i w:val="1"/>
    </w:rPr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Цитата1"/>
    <w:basedOn w:val="Style_4"/>
    <w:link w:val="Style_22_ch"/>
    <w:pPr>
      <w:widowControl w:val="0"/>
      <w:tabs>
        <w:tab w:leader="none" w:pos="4253" w:val="left"/>
        <w:tab w:leader="none" w:pos="4678" w:val="left"/>
      </w:tabs>
      <w:spacing w:after="0" w:line="240" w:lineRule="atLeast"/>
      <w:ind w:firstLine="0" w:left="142" w:right="23"/>
      <w:jc w:val="both"/>
    </w:pPr>
    <w:rPr>
      <w:rFonts w:ascii="Times New Roman" w:hAnsi="Times New Roman"/>
      <w:sz w:val="24"/>
    </w:rPr>
  </w:style>
  <w:style w:styleId="Style_22_ch" w:type="character">
    <w:name w:val="Цитата1"/>
    <w:basedOn w:val="Style_4_ch"/>
    <w:link w:val="Style_22"/>
    <w:rPr>
      <w:rFonts w:ascii="Times New Roman" w:hAnsi="Times New Roman"/>
      <w:sz w:val="24"/>
    </w:rPr>
  </w:style>
  <w:style w:styleId="Style_23" w:type="paragraph">
    <w:name w:val="Subtitle"/>
    <w:next w:val="Style_4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4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4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4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7" w:type="paragraph">
    <w:name w:val="heading 2"/>
    <w:next w:val="Style_4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styleId="Style_28" w:type="paragraph">
    <w:name w:val="No Spacing"/>
    <w:link w:val="Style_28_ch"/>
    <w:pPr>
      <w:spacing w:after="0" w:line="240" w:lineRule="auto"/>
      <w:ind/>
    </w:pPr>
  </w:style>
  <w:style w:styleId="Style_28_ch" w:type="character">
    <w:name w:val="No Spacing"/>
    <w:link w:val="Style_28"/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