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 xml:space="preserve">           </w:t>
      </w:r>
      <w:r>
        <w:rPr>
          <w:sz w:val="28"/>
        </w:rPr>
        <w:t>Способы получения государственных услуг ПФР</w:t>
      </w:r>
    </w:p>
    <w:p w14:paraId="02000000">
      <w:pPr>
        <w:ind/>
        <w:jc w:val="both"/>
        <w:rPr>
          <w:sz w:val="28"/>
        </w:rPr>
      </w:pPr>
      <w:bookmarkStart w:id="1" w:name="_GoBack"/>
      <w:bookmarkEnd w:id="1"/>
      <w:r>
        <w:rPr>
          <w:sz w:val="28"/>
        </w:rPr>
        <w:t xml:space="preserve">  Пенсионный фонд России ежегодно повышает качество обслуживания граждан, расширяя способы их оказания. Сегодня обратиться практически за любой услугой Пенсионного фонда России можно не только в клиентские службы территориального органа ПФР, но и через личный кабинет на сайте ведомства или портал </w:t>
      </w:r>
      <w:r>
        <w:rPr>
          <w:sz w:val="28"/>
        </w:rPr>
        <w:t>госуслуг</w:t>
      </w:r>
      <w:r>
        <w:rPr>
          <w:sz w:val="28"/>
        </w:rPr>
        <w:t>.</w:t>
      </w:r>
    </w:p>
    <w:p w14:paraId="03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Личным кабинетом гражданина на официальном сайте Пенсионного фонда могут воспользоваться все пользователи, которые прошли регистрацию на портале </w:t>
      </w:r>
      <w:r>
        <w:rPr>
          <w:sz w:val="28"/>
        </w:rPr>
        <w:t>госуслуг</w:t>
      </w:r>
      <w:r>
        <w:rPr>
          <w:sz w:val="28"/>
        </w:rPr>
        <w:t xml:space="preserve"> (www.gosuslugi.ru) и имеют подтвержденную учетную запись. Для удобства граждан во всех клиентских службах </w:t>
      </w:r>
      <w:r>
        <w:rPr>
          <w:sz w:val="28"/>
        </w:rPr>
        <w:t xml:space="preserve">Управления ПФР в </w:t>
      </w:r>
      <w:r>
        <w:rPr>
          <w:sz w:val="28"/>
        </w:rPr>
        <w:t>Торбеевском</w:t>
      </w:r>
      <w:r>
        <w:rPr>
          <w:sz w:val="28"/>
        </w:rPr>
        <w:t xml:space="preserve"> муниципальном районе РМ</w:t>
      </w:r>
      <w:r>
        <w:rPr>
          <w:sz w:val="28"/>
        </w:rPr>
        <w:t xml:space="preserve"> специалисты осуществляют подтверждение учетной записи гражданина, который прошел регистрацию на сайте портала </w:t>
      </w:r>
      <w:r>
        <w:rPr>
          <w:sz w:val="28"/>
        </w:rPr>
        <w:t>госуслуг</w:t>
      </w:r>
      <w:r>
        <w:rPr>
          <w:sz w:val="28"/>
        </w:rPr>
        <w:t>.</w:t>
      </w:r>
    </w:p>
    <w:p w14:paraId="04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Информацию о состоянии своего индивидуального лицевого счета в Пенсионном фонде, данные о назначенной пенсии и социальных выплатах можно получить через бесплатное мобильное приложение ПФР, доступное для платформ </w:t>
      </w:r>
      <w:r>
        <w:rPr>
          <w:sz w:val="28"/>
        </w:rPr>
        <w:t>Android</w:t>
      </w:r>
      <w:r>
        <w:rPr>
          <w:sz w:val="28"/>
        </w:rPr>
        <w:t xml:space="preserve"> и </w:t>
      </w:r>
      <w:r>
        <w:rPr>
          <w:sz w:val="28"/>
        </w:rPr>
        <w:t>iOS</w:t>
      </w:r>
      <w:r>
        <w:rPr>
          <w:sz w:val="28"/>
        </w:rPr>
        <w:t>. Также с помощью приложения можно записаться на прием или заказать необходимые документы.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Ряд заявлений можно подать и через офисы «Мои документы» автономного учреждения </w:t>
      </w:r>
      <w:r>
        <w:rPr>
          <w:sz w:val="28"/>
        </w:rPr>
        <w:t xml:space="preserve">в </w:t>
      </w:r>
      <w:r>
        <w:rPr>
          <w:sz w:val="28"/>
        </w:rPr>
        <w:t>Торбеевском</w:t>
      </w:r>
      <w:r>
        <w:rPr>
          <w:sz w:val="28"/>
        </w:rPr>
        <w:t xml:space="preserve">  и  </w:t>
      </w:r>
      <w:r>
        <w:rPr>
          <w:sz w:val="28"/>
        </w:rPr>
        <w:t>Атюрьевском</w:t>
      </w:r>
      <w:r>
        <w:rPr>
          <w:sz w:val="28"/>
        </w:rPr>
        <w:t xml:space="preserve"> районах</w:t>
      </w:r>
      <w:r>
        <w:rPr>
          <w:sz w:val="28"/>
        </w:rPr>
        <w:t xml:space="preserve"> «Многофункциональный центр предоставления государственных и муниципальных услуг» (МФЦ). 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>Все государственные услуги ПФР предоставляются бесплатно.</w:t>
      </w:r>
    </w:p>
    <w:p w14:paraId="07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2" w:type="paragraph">
    <w:name w:val="Normal (Web)"/>
    <w:basedOn w:val="Style_3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3_ch"/>
    <w:link w:val="Style_2"/>
    <w:rPr>
      <w:rFonts w:ascii="Times New Roman" w:hAnsi="Times New Roman"/>
      <w:sz w:val="24"/>
    </w:rPr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basedOn w:val="Style_3"/>
    <w:link w:val="Style_9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9_ch" w:type="character">
    <w:name w:val="heading 3"/>
    <w:basedOn w:val="Style_3_ch"/>
    <w:link w:val="Style_9"/>
    <w:rPr>
      <w:rFonts w:ascii="Times New Roman" w:hAnsi="Times New Roman"/>
      <w:b w:val="1"/>
      <w:sz w:val="27"/>
    </w:rPr>
  </w:style>
  <w:style w:styleId="Style_10" w:type="paragraph">
    <w:name w:val="Balloon Text"/>
    <w:basedOn w:val="Style_3"/>
    <w:link w:val="Style_10_ch"/>
    <w:pPr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3_ch"/>
    <w:link w:val="Style_10"/>
    <w:rPr>
      <w:rFonts w:ascii="Tahoma" w:hAnsi="Tahoma"/>
      <w:sz w:val="16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Body Text"/>
    <w:basedOn w:val="Style_3"/>
    <w:link w:val="Style_12_ch"/>
    <w:pPr>
      <w:widowControl w:val="0"/>
      <w:spacing w:after="140"/>
      <w:ind w:firstLine="720"/>
      <w:jc w:val="both"/>
    </w:pPr>
    <w:rPr>
      <w:rFonts w:ascii="Arial" w:hAnsi="Arial"/>
      <w:sz w:val="24"/>
    </w:rPr>
  </w:style>
  <w:style w:styleId="Style_12_ch" w:type="character">
    <w:name w:val="Body Text"/>
    <w:basedOn w:val="Style_3_ch"/>
    <w:link w:val="Style_12"/>
    <w:rPr>
      <w:rFonts w:ascii="Arial" w:hAnsi="Arial"/>
      <w:sz w:val="24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3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3_ch"/>
    <w:link w:val="Style_1"/>
    <w:rPr>
      <w:rFonts w:ascii="Times New Roman" w:hAnsi="Times New Roman"/>
      <w:b w:val="1"/>
      <w:sz w:val="48"/>
    </w:rPr>
  </w:style>
  <w:style w:styleId="Style_14" w:type="paragraph">
    <w:name w:val="Hyperlink"/>
    <w:basedOn w:val="Style_5"/>
    <w:link w:val="Style_14_ch"/>
    <w:rPr>
      <w:color w:val="0000FF"/>
      <w:u w:val="single"/>
    </w:rPr>
  </w:style>
  <w:style w:styleId="Style_14_ch" w:type="character">
    <w:name w:val="Hyperlink"/>
    <w:basedOn w:val="Style_5_ch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Emphasis"/>
    <w:basedOn w:val="Style_5"/>
    <w:link w:val="Style_21_ch"/>
    <w:rPr>
      <w:i w:val="1"/>
    </w:rPr>
  </w:style>
  <w:style w:styleId="Style_21_ch" w:type="character">
    <w:name w:val="Emphasis"/>
    <w:basedOn w:val="Style_5_ch"/>
    <w:link w:val="Style_21"/>
    <w:rPr>
      <w:i w:val="1"/>
    </w:rPr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Strong"/>
    <w:basedOn w:val="Style_5"/>
    <w:link w:val="Style_26_ch"/>
    <w:rPr>
      <w:b w:val="1"/>
    </w:rPr>
  </w:style>
  <w:style w:styleId="Style_26_ch" w:type="character">
    <w:name w:val="Strong"/>
    <w:basedOn w:val="Style_5_ch"/>
    <w:link w:val="Style_26"/>
    <w:rPr>
      <w:b w:val="1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