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D2B" w:rsidRPr="00A6424E" w:rsidRDefault="00FE0D2B" w:rsidP="00A6424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6424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«Нет» зарплате в конверте</w:t>
      </w:r>
    </w:p>
    <w:p w:rsidR="00A6424E" w:rsidRDefault="00A6424E" w:rsidP="00A642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D2B" w:rsidRPr="00A6424E" w:rsidRDefault="00A6424E" w:rsidP="00A642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E0D2B" w:rsidRPr="00A6424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с «белой» зарплаты формируется пенсия. Основа будущей пенсии – страховые взносы работодателя, которые ежемесячно уплачиваются за вас в Пенсионный фонд России.</w:t>
      </w:r>
    </w:p>
    <w:p w:rsidR="00FE0D2B" w:rsidRPr="00A6424E" w:rsidRDefault="00A6424E" w:rsidP="00A642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E0D2B" w:rsidRPr="00A642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«серых» схемах оплаты труда страховые взносы либо уплачиваются в минимальном размере, либо не уплачиваются совсем. В этих случаях средства на пополнение Вашего пенсионного счета не поступают, или Ваша будущая пенсия формируется в минимальном размере.</w:t>
      </w:r>
    </w:p>
    <w:p w:rsidR="00FE0D2B" w:rsidRPr="00A6424E" w:rsidRDefault="00A6424E" w:rsidP="00A642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E0D2B" w:rsidRPr="00A6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Убедитесь, что работодатель уплачивает страховые взносы на Вашу будущую пенсию. Уплаченные страховые взносы фиксируются на индивидуальном лицевом счете, который ПФР открывает каждому работающему гражданину. Эти взносы формируют Ваши пенсионные права. В будущем они определят размер Вашей пенсии.</w:t>
      </w:r>
    </w:p>
    <w:p w:rsidR="00FE0D2B" w:rsidRPr="00A6424E" w:rsidRDefault="00A6424E" w:rsidP="00A642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E0D2B" w:rsidRPr="00A6424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выше «белая» зарплата, тем больше будет пенсия. Проверяйте состояние пенсионного счета, чтобы знать, перечисляет ли работодатель за Вас страховые взносы в надлежащем объеме.</w:t>
      </w:r>
    </w:p>
    <w:p w:rsidR="00FE0D2B" w:rsidRPr="00A6424E" w:rsidRDefault="00A6424E" w:rsidP="00A642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FE0D2B" w:rsidRPr="00A6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 о состоянии своего индивидуального пенсионного лицевого счета, проверить, сколько уплачено страховых взносов, можно лично обратившись в территориальный орган ПФР по месту жительства, через личный кабинет гражданина на сайте ПФР, через единый портал государственных и муниципальных услуг </w:t>
      </w:r>
      <w:proofErr w:type="spellStart"/>
      <w:r w:rsidR="00FE0D2B" w:rsidRPr="00A6424E">
        <w:rPr>
          <w:rFonts w:ascii="Times New Roman" w:eastAsia="Times New Roman" w:hAnsi="Times New Roman" w:cs="Times New Roman"/>
          <w:sz w:val="28"/>
          <w:szCs w:val="28"/>
          <w:lang w:eastAsia="ru-RU"/>
        </w:rPr>
        <w:t>www.gosuslugi.ru</w:t>
      </w:r>
      <w:proofErr w:type="spellEnd"/>
      <w:r w:rsidR="00FE0D2B" w:rsidRPr="00A6424E">
        <w:rPr>
          <w:rFonts w:ascii="Times New Roman" w:eastAsia="Times New Roman" w:hAnsi="Times New Roman" w:cs="Times New Roman"/>
          <w:sz w:val="28"/>
          <w:szCs w:val="28"/>
          <w:lang w:eastAsia="ru-RU"/>
        </w:rPr>
        <w:t>., либо через кредитные организации, с которыми у ПФР заключены соответствующие соглашения.</w:t>
      </w:r>
      <w:proofErr w:type="gramEnd"/>
    </w:p>
    <w:p w:rsidR="00684E7E" w:rsidRPr="00A6424E" w:rsidRDefault="00684E7E" w:rsidP="00A6424E">
      <w:pPr>
        <w:rPr>
          <w:sz w:val="28"/>
          <w:szCs w:val="28"/>
        </w:rPr>
      </w:pPr>
    </w:p>
    <w:sectPr w:rsidR="00684E7E" w:rsidRPr="00A6424E" w:rsidSect="0068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E0D2B"/>
    <w:rsid w:val="005207E8"/>
    <w:rsid w:val="00684E7E"/>
    <w:rsid w:val="00A6424E"/>
    <w:rsid w:val="00FE0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E7E"/>
  </w:style>
  <w:style w:type="paragraph" w:styleId="1">
    <w:name w:val="heading 1"/>
    <w:basedOn w:val="a"/>
    <w:link w:val="10"/>
    <w:uiPriority w:val="9"/>
    <w:qFormat/>
    <w:rsid w:val="00FE0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E0D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0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0D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E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1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1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72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2020-03-11T05:36:00Z</dcterms:created>
  <dcterms:modified xsi:type="dcterms:W3CDTF">2020-03-11T05:44:00Z</dcterms:modified>
</cp:coreProperties>
</file>