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Зарплата в конверте лишает Вас достойной пенсии! Задумайтесь о будущем!</w:t>
      </w:r>
    </w:p>
    <w:p w14:paraId="02000000">
      <w:pPr>
        <w:spacing w:afterAutospacing="on" w:beforeAutospacing="on" w:line="240" w:lineRule="auto"/>
        <w:ind/>
        <w:jc w:val="both"/>
        <w:outlineLvl w:val="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>Торбеевском</w:t>
      </w:r>
      <w:r>
        <w:rPr>
          <w:rFonts w:ascii="Times New Roman" w:hAnsi="Times New Roman"/>
          <w:sz w:val="28"/>
        </w:rPr>
        <w:t xml:space="preserve"> и </w:t>
      </w:r>
      <w:r>
        <w:rPr>
          <w:rFonts w:ascii="Times New Roman" w:hAnsi="Times New Roman"/>
          <w:sz w:val="28"/>
        </w:rPr>
        <w:t>Атюрьевском</w:t>
      </w:r>
      <w:r>
        <w:rPr>
          <w:rFonts w:ascii="Times New Roman" w:hAnsi="Times New Roman"/>
          <w:sz w:val="28"/>
        </w:rPr>
        <w:t xml:space="preserve"> муниципальных районах</w:t>
      </w:r>
      <w:r>
        <w:rPr>
          <w:rFonts w:ascii="Times New Roman" w:hAnsi="Times New Roman"/>
          <w:sz w:val="28"/>
        </w:rPr>
        <w:t>, как и в России в целом, задачи сокращения неформальной занятости, ликвидации «серых зарплат», обеспечения роста страховых выплат во внебюджетные фонды относятся к числу приоритетных в сфере трудовых отношений.</w:t>
      </w:r>
    </w:p>
    <w:p w14:paraId="03000000">
      <w:pPr>
        <w:spacing w:after="0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</w:t>
      </w:r>
      <w:r>
        <w:rPr>
          <w:rFonts w:ascii="Times New Roman" w:hAnsi="Times New Roman"/>
          <w:sz w:val="28"/>
        </w:rPr>
        <w:t>Управление</w:t>
      </w:r>
      <w:r>
        <w:rPr>
          <w:rFonts w:ascii="Times New Roman" w:hAnsi="Times New Roman"/>
          <w:sz w:val="28"/>
        </w:rPr>
        <w:t xml:space="preserve"> ПФР</w:t>
      </w:r>
      <w:r>
        <w:rPr>
          <w:rFonts w:ascii="Times New Roman" w:hAnsi="Times New Roman"/>
          <w:sz w:val="28"/>
        </w:rPr>
        <w:t xml:space="preserve"> в </w:t>
      </w:r>
      <w:r>
        <w:rPr>
          <w:rFonts w:ascii="Times New Roman" w:hAnsi="Times New Roman"/>
          <w:sz w:val="28"/>
        </w:rPr>
        <w:t>Торбеевском</w:t>
      </w:r>
      <w:r>
        <w:rPr>
          <w:rFonts w:ascii="Times New Roman" w:hAnsi="Times New Roman"/>
          <w:sz w:val="28"/>
        </w:rPr>
        <w:t xml:space="preserve"> муниципальном районе РМ</w:t>
      </w:r>
      <w:r>
        <w:rPr>
          <w:rFonts w:ascii="Times New Roman" w:hAnsi="Times New Roman"/>
          <w:sz w:val="28"/>
        </w:rPr>
        <w:t xml:space="preserve"> обращает внимание, что 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пенсионеров. Сегодня часть страховых взносов идет на выплату пенсий старшему поколению.</w:t>
      </w:r>
    </w:p>
    <w:p w14:paraId="04000000">
      <w:pPr>
        <w:spacing w:after="0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 Также от суммы страховых взносов, которую уплачивает работодатель за конкретного работника, напрямую зависит будущая пенсии гражданина. Уплата страховых взносов с заниженной суммы заработной платы или неуплата взносов вовсе приводит к уменьшению размера пенсии. Таким образом, все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объеме пособие по временной нетрудоспособности, безработице, по уходу за ребенком и выходные пособия в случае увольнения по сокращению штатов.</w:t>
      </w:r>
    </w:p>
    <w:p w14:paraId="05000000">
      <w:pPr>
        <w:spacing w:after="0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  Получить информацию о сформированных пенсионных правах (о количестве пенсионных баллов, страховом стаже, суммах страховых взносов) можно через электронный сервис «Личный кабинет гражданина» на сайте </w:t>
      </w:r>
      <w:r>
        <w:rPr>
          <w:rFonts w:ascii="Times New Roman" w:hAnsi="Times New Roman"/>
          <w:color w:val="0000FF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z w:val="28"/>
          <w:u w:val="single"/>
        </w:rPr>
        <w:instrText>HYPERLINK "http://www.pfrf.ru/"</w:instrText>
      </w:r>
      <w:r>
        <w:rPr>
          <w:rFonts w:ascii="Times New Roman" w:hAnsi="Times New Roman"/>
          <w:color w:val="0000FF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z w:val="28"/>
          <w:u w:val="single"/>
        </w:rPr>
        <w:t>www.pfrf.ru</w:t>
      </w:r>
      <w:r>
        <w:rPr>
          <w:rFonts w:ascii="Times New Roman" w:hAnsi="Times New Roman"/>
          <w:color w:val="0000FF"/>
          <w:sz w:val="28"/>
          <w:u w:val="single"/>
        </w:rPr>
        <w:fldChar w:fldCharType="end"/>
      </w:r>
      <w:r>
        <w:rPr>
          <w:rFonts w:ascii="Times New Roman" w:hAnsi="Times New Roman"/>
          <w:sz w:val="28"/>
        </w:rPr>
        <w:t>, или мобильное приложение ПФР. Для этого необходимо иметь подтвержденную учётную запись в Единой системе идентификац</w:t>
      </w:r>
      <w:r>
        <w:rPr>
          <w:rFonts w:ascii="Times New Roman" w:hAnsi="Times New Roman"/>
          <w:sz w:val="28"/>
        </w:rPr>
        <w:t>ии и ау</w:t>
      </w:r>
      <w:r>
        <w:rPr>
          <w:rFonts w:ascii="Times New Roman" w:hAnsi="Times New Roman"/>
          <w:sz w:val="28"/>
        </w:rPr>
        <w:t>тентификации (ЕСИА).</w:t>
      </w:r>
    </w:p>
    <w:p w14:paraId="06000000">
      <w:pPr>
        <w:spacing w:after="0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  Также работающие граждане имеют право бесплатно получать от своего работодателя копию индивидуальных сведений, предоставляемых на них в Пенсионный фонд, и таким образом контролировать формирование своей будущей пенсии. Запрашивать выписку о состоянии индивидуального лицевого счета можно в территориальном органе ПФР, через банк, офисы многофункциональных центров, а также на Едином портале государственных и муниципальных услуг </w:t>
      </w:r>
      <w:r>
        <w:rPr>
          <w:rFonts w:ascii="Times New Roman" w:hAnsi="Times New Roman"/>
          <w:sz w:val="28"/>
        </w:rPr>
        <w:t>www.gosuslugi.ru</w:t>
      </w:r>
      <w:r>
        <w:rPr>
          <w:rFonts w:ascii="Times New Roman" w:hAnsi="Times New Roman"/>
          <w:sz w:val="28"/>
        </w:rPr>
        <w:t>.</w:t>
      </w:r>
    </w:p>
    <w:p w14:paraId="07000000">
      <w:pPr>
        <w:spacing w:after="0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 Если Вы считаете, что какие-либо сведения не учтены или учтены не в полном объеме, у Вас есть возможность заблаговременно обратиться к работодателю для уточнения данных и представить их в территориальный орган ПФР.</w:t>
      </w:r>
    </w:p>
    <w:p w14:paraId="08000000">
      <w:pPr>
        <w:ind/>
        <w:jc w:val="both"/>
        <w:rPr>
          <w:sz w:val="28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western"/>
    <w:basedOn w:val="Style_1"/>
    <w:link w:val="Style_7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7_ch" w:type="character">
    <w:name w:val="western"/>
    <w:basedOn w:val="Style_1_ch"/>
    <w:link w:val="Style_7"/>
    <w:rPr>
      <w:rFonts w:ascii="Times New Roman" w:hAnsi="Times New Roman"/>
      <w:sz w:val="24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basedOn w:val="Style_1"/>
    <w:link w:val="Style_10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0_ch" w:type="character">
    <w:name w:val="heading 1"/>
    <w:basedOn w:val="Style_1_ch"/>
    <w:link w:val="Style_10"/>
    <w:rPr>
      <w:rFonts w:ascii="Times New Roman" w:hAnsi="Times New Roman"/>
      <w:b w:val="1"/>
      <w:sz w:val="48"/>
    </w:rPr>
  </w:style>
  <w:style w:styleId="Style_11" w:type="paragraph">
    <w:name w:val="Hyperlink"/>
    <w:basedOn w:val="Style_12"/>
    <w:link w:val="Style_11_ch"/>
    <w:rPr>
      <w:color w:val="0000FF"/>
      <w:u w:val="single"/>
    </w:rPr>
  </w:style>
  <w:style w:styleId="Style_11_ch" w:type="character">
    <w:name w:val="Hyperlink"/>
    <w:basedOn w:val="Style_12_ch"/>
    <w:link w:val="Style_11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1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8" w:type="paragraph">
    <w:name w:val="toc 5"/>
    <w:next w:val="Style_1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1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1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1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