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spacing w:afterAutospacing="on" w:beforeAutospacing="on" w:line="240" w:lineRule="auto"/>
        <w:ind/>
        <w:outlineLvl w:val="0"/>
        <w:rPr>
          <w:rFonts w:ascii="Times New Roman" w:hAnsi="Times New Roman"/>
          <w:b w:val="1"/>
          <w:sz w:val="48"/>
        </w:rPr>
      </w:pPr>
      <w:r>
        <w:rPr>
          <w:rFonts w:ascii="Times New Roman" w:hAnsi="Times New Roman"/>
          <w:b w:val="1"/>
          <w:sz w:val="48"/>
        </w:rPr>
        <w:t xml:space="preserve">ПАМЯТКА СТРАХОВАТЕЛЮ </w:t>
      </w:r>
    </w:p>
    <w:p w14:paraId="02000000">
      <w:pPr>
        <w:spacing w:afterAutospacing="on" w:beforeAutospacing="on" w:line="240" w:lineRule="auto"/>
        <w:ind/>
        <w:outlineLvl w:val="0"/>
        <w:rPr>
          <w:rFonts w:ascii="Times New Roman" w:hAnsi="Times New Roman"/>
          <w:b w:val="1"/>
          <w:sz w:val="48"/>
        </w:rPr>
      </w:pPr>
      <w:r>
        <w:rPr>
          <w:rFonts w:ascii="Times New Roman" w:hAnsi="Times New Roman"/>
          <w:b w:val="1"/>
          <w:sz w:val="48"/>
        </w:rPr>
        <w:t>О порядке ведения сведений о трудовой деятельности зарегистрированного лица в электронном виде с 01.01.2020 г.</w:t>
      </w:r>
    </w:p>
    <w:p w14:paraId="03000000">
      <w:pPr>
        <w:spacing w:afterAutospacing="on" w:beforeAutospacing="on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sz w:val="24"/>
        </w:rPr>
        <w:t>1. Федеральным законом от 16 декабря 2019 года № 439-ФЗ «О внесении изменений в Трудовой кодекс Российской Федерации в части формирования сведений о трудовой деятельности в электронном виде» (далее – Федеральный закон № 439-ФЗ)  определен порядок формирования с 1 января 2020 года сведений о трудовой деятельности в электронном виде.</w:t>
      </w:r>
    </w:p>
    <w:p w14:paraId="04000000">
      <w:pPr>
        <w:numPr>
          <w:ilvl w:val="0"/>
          <w:numId w:val="1"/>
        </w:num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 </w:t>
      </w:r>
      <w:r>
        <w:rPr>
          <w:rFonts w:ascii="Times New Roman" w:hAnsi="Times New Roman"/>
          <w:sz w:val="24"/>
        </w:rPr>
        <w:t xml:space="preserve">В соответствии со статьей 2  Федерального закона № 439-ФЗ страхователь </w:t>
      </w:r>
      <w:r>
        <w:rPr>
          <w:rFonts w:ascii="Times New Roman" w:hAnsi="Times New Roman"/>
          <w:b w:val="1"/>
          <w:sz w:val="24"/>
        </w:rPr>
        <w:t>до 30.06.2020 года</w:t>
      </w:r>
      <w:r>
        <w:rPr>
          <w:rFonts w:ascii="Times New Roman" w:hAnsi="Times New Roman"/>
          <w:sz w:val="24"/>
        </w:rPr>
        <w:t xml:space="preserve"> обязан письменно уведомить всех работников о переходе на электронные трудовые книжки, в том числе разъяснить сотрудникам право подать в течение 2020 года заявление о продолжении ведения трудовой книжки (ст.66 ТК, бумажная форма трудовой книжки)  или заявление о представлении сведений о трудовой деятельности (ст.66.1 ТК, электронная форма</w:t>
      </w:r>
      <w:r>
        <w:rPr>
          <w:rFonts w:ascii="Times New Roman" w:hAnsi="Times New Roman"/>
          <w:sz w:val="24"/>
        </w:rPr>
        <w:t xml:space="preserve"> трудовой книжки).</w:t>
      </w:r>
    </w:p>
    <w:p w14:paraId="05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1.3. Федеральным законом от  16 декабря 2019 года №436-ФЗ  «О внесении изменений в Федеральный закон «Об индивидуальном (персонифицированном) учете в системе обязательного пенсионного страхования» с 1 января 2020 года введена обязанность работодателей </w:t>
      </w:r>
      <w:r>
        <w:rPr>
          <w:rFonts w:ascii="Times New Roman" w:hAnsi="Times New Roman"/>
          <w:sz w:val="24"/>
        </w:rPr>
        <w:t>представлять</w:t>
      </w:r>
      <w:r>
        <w:rPr>
          <w:rFonts w:ascii="Times New Roman" w:hAnsi="Times New Roman"/>
          <w:sz w:val="24"/>
        </w:rPr>
        <w:t xml:space="preserve"> в информационную систему Пенсионного фонда Российской Федерации сведения о трудовой деятельности работников.</w:t>
      </w:r>
    </w:p>
    <w:p w14:paraId="06000000">
      <w:pPr>
        <w:numPr>
          <w:ilvl w:val="0"/>
          <w:numId w:val="2"/>
        </w:num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>Порядок представления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сведений о трудовой деятельности зарегистрированного лица (форма СЗВ-ТД)</w:t>
      </w:r>
    </w:p>
    <w:p w14:paraId="07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2.1. </w:t>
      </w:r>
      <w:r>
        <w:rPr>
          <w:rFonts w:ascii="Times New Roman" w:hAnsi="Times New Roman"/>
          <w:sz w:val="24"/>
        </w:rPr>
        <w:t>Начиная с 1 января 2020 работодатели (включая индивидуальных предпринимателей, имеющих наемных работников) на каждого работника, с которым были заключены или прекращены трудовые (служебные) отношения, или подано заявление о продолжении ведения бумажной трудовой книжки либо о представлении сведений о трудовой деятельности в электронном виде (далее – кадровые мероприятия) представляют сведения о трудовой деятельности зарегистрированного лица (форма СЗВ-ТД) в территориальный орган  ПФР по</w:t>
      </w:r>
      <w:r>
        <w:rPr>
          <w:rFonts w:ascii="Times New Roman" w:hAnsi="Times New Roman"/>
          <w:sz w:val="24"/>
        </w:rPr>
        <w:t xml:space="preserve"> месту регистрации в качестве страхователя не позднее 15 числа месяца, следующего за месяцем, в котором проведены кадровые мероприятия.</w:t>
      </w:r>
    </w:p>
    <w:p w14:paraId="08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2.2. Форма СЗВ-ТД «Сведения о трудовой деятельности зарегистрированного лица», формат, а также порядок ее заполнения (</w:t>
      </w:r>
      <w:r>
        <w:rPr>
          <w:rFonts w:ascii="Times New Roman" w:hAnsi="Times New Roman"/>
          <w:sz w:val="24"/>
        </w:rPr>
        <w:t>далее-Порядок</w:t>
      </w:r>
      <w:r>
        <w:rPr>
          <w:rFonts w:ascii="Times New Roman" w:hAnsi="Times New Roman"/>
          <w:sz w:val="24"/>
        </w:rPr>
        <w:t xml:space="preserve">) утвержден Постановлением Правления ПФ РФ от 25.12.2019г. №730п. Форма СЗВ-ТД и Порядок </w:t>
      </w:r>
      <w:r>
        <w:rPr>
          <w:rFonts w:ascii="Times New Roman" w:hAnsi="Times New Roman"/>
          <w:sz w:val="24"/>
        </w:rPr>
        <w:t>размещены</w:t>
      </w:r>
      <w:r>
        <w:rPr>
          <w:rFonts w:ascii="Times New Roman" w:hAnsi="Times New Roman"/>
          <w:sz w:val="24"/>
        </w:rPr>
        <w:t xml:space="preserve"> на сайте ПФР (http://www.pfrf.ru/etk).</w:t>
      </w:r>
    </w:p>
    <w:p w14:paraId="09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2.3. Форма СЗВ-ТД формируется на основании приказов (распоряжений), иных решений или других документов кадрового учета страхователя и содержит сведения о трудовой деятельности зарегистрированного лица.</w:t>
      </w:r>
    </w:p>
    <w:p w14:paraId="0A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2.4 Форма СЗВ-ТД заполняется и представляется страхователями на зарегистрированных лиц (включая лиц, работающих по совместительству и на дистанционной работе):</w:t>
      </w:r>
    </w:p>
    <w:p w14:paraId="0B000000">
      <w:pPr>
        <w:numPr>
          <w:ilvl w:val="0"/>
          <w:numId w:val="3"/>
        </w:num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с </w:t>
      </w:r>
      <w:r>
        <w:rPr>
          <w:rFonts w:ascii="Times New Roman" w:hAnsi="Times New Roman"/>
          <w:sz w:val="24"/>
        </w:rPr>
        <w:t>которыми</w:t>
      </w:r>
      <w:r>
        <w:rPr>
          <w:rFonts w:ascii="Times New Roman" w:hAnsi="Times New Roman"/>
          <w:sz w:val="24"/>
        </w:rPr>
        <w:t xml:space="preserve"> заключены или прекращены трудовые отношения (далее - кадровые мероприятия);</w:t>
      </w:r>
    </w:p>
    <w:p w14:paraId="0C000000">
      <w:pPr>
        <w:numPr>
          <w:ilvl w:val="0"/>
          <w:numId w:val="3"/>
        </w:num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в </w:t>
      </w:r>
      <w:r>
        <w:rPr>
          <w:rFonts w:ascii="Times New Roman" w:hAnsi="Times New Roman"/>
          <w:sz w:val="24"/>
        </w:rPr>
        <w:t>отношении</w:t>
      </w:r>
      <w:r>
        <w:rPr>
          <w:rFonts w:ascii="Times New Roman" w:hAnsi="Times New Roman"/>
          <w:sz w:val="24"/>
        </w:rPr>
        <w:t xml:space="preserve"> которых произведены другие кадровые изменения, в том числе перевод на другую постоянную работу, установление второй и последующей профессии или иной квалификации, переименование страхователя, отмена ранее </w:t>
      </w:r>
      <w:r>
        <w:rPr>
          <w:rFonts w:ascii="Times New Roman" w:hAnsi="Times New Roman"/>
          <w:sz w:val="24"/>
        </w:rPr>
        <w:t>произведенных мероприятий и другие мероприятия согласно классификатора (далее - кадровые мероприятия);</w:t>
      </w:r>
    </w:p>
    <w:p w14:paraId="0D000000">
      <w:pPr>
        <w:numPr>
          <w:ilvl w:val="0"/>
          <w:numId w:val="3"/>
        </w:num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в случае подачи ими заявлений о продолжении ведения трудовой книжки (бумажная форма) или заявлений о представлении сведений о трудовой деятельности (электронная форма).</w:t>
      </w:r>
    </w:p>
    <w:p w14:paraId="0E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2.5. Сведения по форме СЗВ-ТД на зарегистрированных лиц, с которыми заключены </w:t>
      </w:r>
      <w:r>
        <w:rPr>
          <w:rFonts w:ascii="Times New Roman" w:hAnsi="Times New Roman"/>
          <w:b w:val="1"/>
          <w:sz w:val="24"/>
        </w:rPr>
        <w:t>гражданско-правовые договоры</w:t>
      </w:r>
      <w:r>
        <w:rPr>
          <w:rFonts w:ascii="Times New Roman" w:hAnsi="Times New Roman"/>
          <w:sz w:val="24"/>
        </w:rPr>
        <w:t>, не представляются.</w:t>
      </w:r>
    </w:p>
    <w:p w14:paraId="0F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2.6. При представлении формы СЗВ-ТД впервые в отношении зарегистрированного лица страхователь одновременно со сведениями, указанными в п.2.1. представляет сведения  о последнем кадровом мероприятии  (последняя запись в трудовой книжке) по состоянию на 1 января 2020 года у данного страхователя.</w:t>
      </w:r>
    </w:p>
    <w:p w14:paraId="10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случае отсутствия у данного страхователя в течение 2020 года по  зарегистрированному лицу кадровых мероприятий и заявления о выборе способа ведения трудовой книжки, форма СЗВ-ТД на такое зарегистрированное лицо представляются не позднее 15 февраля 2021 года сведения с данными о последнем кадровом мероприятии  (последняя запись в трудовой книжке) на 1 января 2020 года и о принятом заявлении (если будет подано</w:t>
      </w:r>
      <w:r>
        <w:rPr>
          <w:rFonts w:ascii="Times New Roman" w:hAnsi="Times New Roman"/>
          <w:sz w:val="24"/>
        </w:rPr>
        <w:t xml:space="preserve"> заявление в январе 2021 года). </w:t>
      </w:r>
    </w:p>
    <w:p w14:paraId="11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Лица, не имевшие возможности по 31 декабря 2020 года включительно подать работодателю заявление вправе сделать это в любое время, подав работодателю соответствующее письменное заявление (в соответствие с п.6 ст.2 закона №439-ФЗ).</w:t>
      </w:r>
    </w:p>
    <w:p w14:paraId="12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случае</w:t>
      </w:r>
      <w:r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если работник не подал работодателю заявление, работодатель продолжает вести его трудовую книжку в соответствии со статьей 66 Трудового кодекса РФ.</w:t>
      </w:r>
    </w:p>
    <w:p w14:paraId="13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2.7. Работодатели представляют отчётность одним из нижеперечисленных способов:</w:t>
      </w:r>
    </w:p>
    <w:p w14:paraId="14000000">
      <w:pPr>
        <w:numPr>
          <w:ilvl w:val="0"/>
          <w:numId w:val="4"/>
        </w:num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в электронном виде заверенные усиленной электронной подписью (ЭП): по коммуникационным каналам связи (через операторов связи); через Кабинет страхователя (электронный сервис ПФР: </w:t>
      </w:r>
      <w:r>
        <w:rPr>
          <w:rFonts w:ascii="Times New Roman" w:hAnsi="Times New Roman"/>
          <w:color w:val="0000FF"/>
          <w:sz w:val="24"/>
          <w:u w:val="single"/>
        </w:rPr>
        <w:fldChar w:fldCharType="begin"/>
      </w:r>
      <w:r>
        <w:rPr>
          <w:rFonts w:ascii="Times New Roman" w:hAnsi="Times New Roman"/>
          <w:color w:val="0000FF"/>
          <w:sz w:val="24"/>
          <w:u w:val="single"/>
        </w:rPr>
        <w:instrText>HYPERLINK "http://www.pfrf.ru/"</w:instrText>
      </w:r>
      <w:r>
        <w:rPr>
          <w:rFonts w:ascii="Times New Roman" w:hAnsi="Times New Roman"/>
          <w:color w:val="0000FF"/>
          <w:sz w:val="24"/>
          <w:u w:val="single"/>
        </w:rPr>
        <w:fldChar w:fldCharType="separate"/>
      </w:r>
      <w:r>
        <w:rPr>
          <w:rFonts w:ascii="Times New Roman" w:hAnsi="Times New Roman"/>
          <w:color w:val="0000FF"/>
          <w:sz w:val="24"/>
          <w:u w:val="single"/>
        </w:rPr>
        <w:t>http://www.pfrf.ru/</w:t>
      </w:r>
      <w:r>
        <w:rPr>
          <w:rFonts w:ascii="Times New Roman" w:hAnsi="Times New Roman"/>
          <w:color w:val="0000FF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); </w:t>
      </w:r>
    </w:p>
    <w:p w14:paraId="15000000">
      <w:pPr>
        <w:numPr>
          <w:ilvl w:val="0"/>
          <w:numId w:val="4"/>
        </w:num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в бумажном виде в территориальный орган ПФР;</w:t>
      </w:r>
    </w:p>
    <w:p w14:paraId="16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2.8.  Форма СЗВ-ТД в бумажном виде заверяется подписью руководителя или доверенного лица и печатью организации (при наличии).</w:t>
      </w:r>
    </w:p>
    <w:p w14:paraId="17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2.9. Форма СЗВ-ТД в форме электронного документа с ЭП представляется страхователем по форме СЗВ-ТД согласно приложению 1 к  постановлению Правления ПФ РФ  от 25.12.2019г. №730п.</w:t>
      </w:r>
    </w:p>
    <w:p w14:paraId="18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2.10.Рекомендовано к использованию для заполнения формы СЗВ-ТД имеющиеся в распоряжении страхователя бухгалтерские программы (1-С, БЭСТ, ПАРУС и т.д.). Бесплатное программное обеспечение по заполнению формы и программы проверки отчетности  размещены на сайте ПФР (</w:t>
      </w:r>
      <w:r>
        <w:rPr>
          <w:rFonts w:ascii="Times New Roman" w:hAnsi="Times New Roman"/>
          <w:color w:val="0000FF"/>
          <w:sz w:val="24"/>
          <w:u w:val="single"/>
        </w:rPr>
        <w:fldChar w:fldCharType="begin"/>
      </w:r>
      <w:r>
        <w:rPr>
          <w:rFonts w:ascii="Times New Roman" w:hAnsi="Times New Roman"/>
          <w:color w:val="0000FF"/>
          <w:sz w:val="24"/>
          <w:u w:val="single"/>
        </w:rPr>
        <w:instrText>HYPERLINK "http://www.pfrf.ru/strahovatelyam/for_employers/programs_for_employers"</w:instrText>
      </w:r>
      <w:r>
        <w:rPr>
          <w:rFonts w:ascii="Times New Roman" w:hAnsi="Times New Roman"/>
          <w:color w:val="0000FF"/>
          <w:sz w:val="24"/>
          <w:u w:val="single"/>
        </w:rPr>
        <w:fldChar w:fldCharType="separate"/>
      </w:r>
      <w:r>
        <w:rPr>
          <w:rFonts w:ascii="Times New Roman" w:hAnsi="Times New Roman"/>
          <w:color w:val="0000FF"/>
          <w:sz w:val="24"/>
          <w:u w:val="single"/>
        </w:rPr>
        <w:t>http://www.pfrf.ru/strahovatelyam/for_employers/programs_for_employers</w:t>
      </w:r>
      <w:r>
        <w:rPr>
          <w:rFonts w:ascii="Times New Roman" w:hAnsi="Times New Roman"/>
          <w:color w:val="0000FF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).</w:t>
      </w:r>
    </w:p>
    <w:p w14:paraId="19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> </w:t>
      </w:r>
    </w:p>
    <w:p w14:paraId="1A000000">
      <w:pPr>
        <w:numPr>
          <w:ilvl w:val="0"/>
          <w:numId w:val="5"/>
        </w:num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>Порядок заполнения разделов формы СЗВ-ТД</w:t>
      </w:r>
    </w:p>
    <w:p w14:paraId="1B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3.1.  Общие требования при заполнении формы СЗВ-ТД:</w:t>
      </w:r>
    </w:p>
    <w:p w14:paraId="1C000000">
      <w:pPr>
        <w:numPr>
          <w:ilvl w:val="0"/>
          <w:numId w:val="6"/>
        </w:num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форма СЗВ-ТД формируется без сопровождения  Описи, отдельно на каждое зарегистрированное лицо;</w:t>
      </w:r>
    </w:p>
    <w:p w14:paraId="1D000000">
      <w:pPr>
        <w:numPr>
          <w:ilvl w:val="0"/>
          <w:numId w:val="6"/>
        </w:num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«Сведения о страхователе»,  «Сведения о зарегистрированном лице», «Отчетный период», поля "Наименование должности руководителя", "Подпись", </w:t>
      </w:r>
      <w:r>
        <w:rPr>
          <w:rFonts w:ascii="Times New Roman" w:hAnsi="Times New Roman"/>
          <w:sz w:val="24"/>
        </w:rPr>
        <w:t>"Расшифровка подписи" (указывается Ф.И.О. полностью)  формы СЗВ-ТД   заполняются в обязательном порядке;  </w:t>
      </w:r>
    </w:p>
    <w:p w14:paraId="1E000000">
      <w:pPr>
        <w:numPr>
          <w:ilvl w:val="0"/>
          <w:numId w:val="6"/>
        </w:num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не допускается исправление ошибок с помощью корректирующего или иного аналогичного средства.</w:t>
      </w:r>
    </w:p>
    <w:p w14:paraId="1F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3.2. Особенности заполнения раздела «Сведения о страхователе»:</w:t>
      </w:r>
    </w:p>
    <w:p w14:paraId="20000000">
      <w:pPr>
        <w:numPr>
          <w:ilvl w:val="0"/>
          <w:numId w:val="7"/>
        </w:num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Регистрационный номер ПФР должен состоять из 12 цифр по следующему формату XXX-XXX-XXXXXX.</w:t>
      </w:r>
    </w:p>
    <w:p w14:paraId="21000000">
      <w:pPr>
        <w:numPr>
          <w:ilvl w:val="0"/>
          <w:numId w:val="7"/>
        </w:num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в поле "Работодатель (наименование)" указываются наименование организации в соответствии с учредительными документами;</w:t>
      </w:r>
    </w:p>
    <w:p w14:paraId="22000000">
      <w:pPr>
        <w:numPr>
          <w:ilvl w:val="0"/>
          <w:numId w:val="7"/>
        </w:num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в поле "ИНН", состоящем из 12 знакомест, показатель ИНН плательщика, имеющий десять знаков, записывается в первых десяти знакоместах, в двух последних ставится прочерк;</w:t>
      </w:r>
    </w:p>
    <w:p w14:paraId="23000000">
      <w:pPr>
        <w:numPr>
          <w:ilvl w:val="0"/>
          <w:numId w:val="7"/>
        </w:num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значение в показателе "КПП" должно состоять из 9 цифр либо отсутствовать. КПП по месту нахождения обособленного подразделения указывается </w:t>
      </w:r>
      <w:r>
        <w:rPr>
          <w:rFonts w:ascii="Times New Roman" w:hAnsi="Times New Roman"/>
          <w:sz w:val="24"/>
        </w:rPr>
        <w:t>в соответствии с уведомлением о постановке на учет в налоговом органе</w:t>
      </w:r>
      <w:r>
        <w:rPr>
          <w:rFonts w:ascii="Times New Roman" w:hAnsi="Times New Roman"/>
          <w:sz w:val="24"/>
        </w:rPr>
        <w:t xml:space="preserve"> юридического лица по месту нахождения обособленного подразделения на территории Российской Федерации.</w:t>
      </w:r>
    </w:p>
    <w:p w14:paraId="24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3.3.  Особенности заполнения раздела «Сведения о зарегистрированном лице»:</w:t>
      </w:r>
    </w:p>
    <w:p w14:paraId="25000000">
      <w:pPr>
        <w:numPr>
          <w:ilvl w:val="0"/>
          <w:numId w:val="8"/>
        </w:num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СНИЛС (Страховой номер) и поля «Фамилия, имя, отчество», «Дата рождения» заполняются в строгом соответствии с данными страхового свидетельства обязательного пенсионного страхования или уведомления о регистрации в системе индивидуального (персонифицированного) учета (форма АДИ-РЕГ) зарегистрированного лица;</w:t>
      </w:r>
    </w:p>
    <w:p w14:paraId="26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3.4. Заполнение сведений о  подаче заявления о продолжении ведения трудовой книжки либо о представлении сведений о трудовой деятельности (</w:t>
      </w:r>
      <w:r>
        <w:rPr>
          <w:rFonts w:ascii="Times New Roman" w:hAnsi="Times New Roman"/>
          <w:sz w:val="24"/>
        </w:rPr>
        <w:t>далее-заявления</w:t>
      </w:r>
      <w:r>
        <w:rPr>
          <w:rFonts w:ascii="Times New Roman" w:hAnsi="Times New Roman"/>
          <w:sz w:val="24"/>
        </w:rPr>
        <w:t>):</w:t>
      </w:r>
    </w:p>
    <w:p w14:paraId="27000000">
      <w:pPr>
        <w:numPr>
          <w:ilvl w:val="0"/>
          <w:numId w:val="9"/>
        </w:num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поле «дата подачи» заполняется в формате ДД.ММ</w:t>
      </w:r>
      <w:r>
        <w:rPr>
          <w:rFonts w:ascii="Times New Roman" w:hAnsi="Times New Roman"/>
          <w:sz w:val="24"/>
        </w:rPr>
        <w:t>.Г</w:t>
      </w:r>
      <w:r>
        <w:rPr>
          <w:rFonts w:ascii="Times New Roman" w:hAnsi="Times New Roman"/>
          <w:sz w:val="24"/>
        </w:rPr>
        <w:t>ГГГ тем страхователем, которому подано соответствующее заявление. Заполнение данного поля одновременно по двум заявлениям не допускается;</w:t>
      </w:r>
    </w:p>
    <w:p w14:paraId="28000000">
      <w:pPr>
        <w:numPr>
          <w:ilvl w:val="0"/>
          <w:numId w:val="9"/>
        </w:num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в случае корректировки ранее представленной и принятой ПФР формы СЗВ-ТД в части поля «дата подачи»  заполняется новая форма СЗВ-ТД с указанием в соответствующей строке новой даты  подачи заявления;</w:t>
      </w:r>
    </w:p>
    <w:p w14:paraId="29000000">
      <w:pPr>
        <w:numPr>
          <w:ilvl w:val="0"/>
          <w:numId w:val="9"/>
        </w:num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для отмены сведений о подаче заявления в строке "Подано заявление о …" указывается ранее указанная дата и в поле "Признак отмены" проставляется знак "X".</w:t>
      </w:r>
    </w:p>
    <w:p w14:paraId="2A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3.5. Заполнение сведений об отчетном периоде:</w:t>
      </w:r>
    </w:p>
    <w:p w14:paraId="2B000000">
      <w:pPr>
        <w:numPr>
          <w:ilvl w:val="0"/>
          <w:numId w:val="10"/>
        </w:num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в поле «Отчетный период» указывается период (</w:t>
      </w:r>
      <w:r>
        <w:rPr>
          <w:rFonts w:ascii="Times New Roman" w:hAnsi="Times New Roman"/>
          <w:sz w:val="24"/>
        </w:rPr>
        <w:t>ММ</w:t>
      </w:r>
      <w:r>
        <w:rPr>
          <w:rFonts w:ascii="Times New Roman" w:hAnsi="Times New Roman"/>
          <w:sz w:val="24"/>
        </w:rPr>
        <w:t>), за который представляются сведения: «01» - за январь; « 02» - за февраль; … «12» - за декабрь;</w:t>
      </w:r>
    </w:p>
    <w:p w14:paraId="2C000000">
      <w:pPr>
        <w:numPr>
          <w:ilvl w:val="0"/>
          <w:numId w:val="10"/>
        </w:num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в поле «Календарный год» указывается календарный год (ГГГГ), к которому относится месяц, за который представляются сведения по форме СЗВ-ТД (2020)</w:t>
      </w:r>
    </w:p>
    <w:p w14:paraId="2D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3.6. Заполнение сведений о трудовой деятельности:</w:t>
      </w:r>
    </w:p>
    <w:p w14:paraId="2E000000">
      <w:pPr>
        <w:numPr>
          <w:ilvl w:val="0"/>
          <w:numId w:val="11"/>
        </w:num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указываются кадровые мероприятия на основании документов кадрового учета страхователя или переименование организации.</w:t>
      </w:r>
    </w:p>
    <w:p w14:paraId="2F000000">
      <w:pPr>
        <w:numPr>
          <w:ilvl w:val="0"/>
          <w:numId w:val="11"/>
        </w:num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z w:val="24"/>
        </w:rPr>
        <w:t xml:space="preserve"> графе 1 указывается порядковый номер кадрового мероприятия в рамках формы СЗВ-ТД;</w:t>
      </w:r>
    </w:p>
    <w:p w14:paraId="30000000">
      <w:pPr>
        <w:numPr>
          <w:ilvl w:val="0"/>
          <w:numId w:val="11"/>
        </w:num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в графе 2 указывается дата (ДД.ММ</w:t>
      </w:r>
      <w:r>
        <w:rPr>
          <w:rFonts w:ascii="Times New Roman" w:hAnsi="Times New Roman"/>
          <w:sz w:val="24"/>
        </w:rPr>
        <w:t>.Г</w:t>
      </w:r>
      <w:r>
        <w:rPr>
          <w:rFonts w:ascii="Times New Roman" w:hAnsi="Times New Roman"/>
          <w:sz w:val="24"/>
        </w:rPr>
        <w:t>ГГГ) кадрового мероприятия: прием, перевод, увольнение, а также дата, с которой произошло изменения наименования организации;</w:t>
      </w:r>
    </w:p>
    <w:p w14:paraId="31000000">
      <w:pPr>
        <w:numPr>
          <w:ilvl w:val="0"/>
          <w:numId w:val="11"/>
        </w:num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в графе 3 указывается наименование кадрового мероприятия в соответствии с Классификатором вида мероприятий (указанного в п.2.5.3.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Порядка): прием; перевод;…… увольнение и т.д.</w:t>
      </w:r>
      <w:r>
        <w:rPr>
          <w:rFonts w:ascii="Times New Roman" w:hAnsi="Times New Roman"/>
          <w:sz w:val="24"/>
        </w:rPr>
        <w:t xml:space="preserve"> В случае переименования организации работодателю нужно будет предоставить сведения о трудовой деятельности на всех сотрудников, аналогично действующим правилам ведения трудовых книжек.</w:t>
      </w:r>
    </w:p>
    <w:p w14:paraId="32000000">
      <w:pPr>
        <w:numPr>
          <w:ilvl w:val="0"/>
          <w:numId w:val="11"/>
        </w:num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в графе 4 записи о наименовании трудовой функции заполняются в соответствии со штатным расписанием работодателя:</w:t>
      </w:r>
    </w:p>
    <w:p w14:paraId="33000000">
      <w:pPr>
        <w:numPr>
          <w:ilvl w:val="0"/>
          <w:numId w:val="11"/>
        </w:num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случае если в соответствии с федеральными законами с выполнением работ по определенным должностям, специальностям или профессиям связано предоставление льгот либо наличие ограничений, то наименование этих должностей, специальностей или профессий и квалификационные требования к ним должны соответствовать наименованиям и требованиям, предусмотренным соответствующими квалификационными справочниками или соответствующими положениям профессиональных стандартов или реестров соответствующих должностей;</w:t>
      </w:r>
    </w:p>
    <w:p w14:paraId="34000000">
      <w:pPr>
        <w:numPr>
          <w:ilvl w:val="0"/>
          <w:numId w:val="11"/>
        </w:num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для государственных и муниципальных служащих также указывается код должности по соответствующему реестру должностей;</w:t>
      </w:r>
    </w:p>
    <w:p w14:paraId="35000000">
      <w:pPr>
        <w:numPr>
          <w:ilvl w:val="0"/>
          <w:numId w:val="11"/>
        </w:num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установление (присвоение) работнику второй и последующей профессии, специальности или иной квалификации заполняется с указанием разрядов, классов или иных категорий этих профессий, специальностей или уровней квалификации (класс, категория, классный чин и тому подобное);</w:t>
      </w:r>
    </w:p>
    <w:p w14:paraId="36000000">
      <w:pPr>
        <w:numPr>
          <w:ilvl w:val="0"/>
          <w:numId w:val="11"/>
        </w:num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если в соответствии с приговором суда осужденный и не отбывший наказание работник лишен права занимать определенные должности или заниматься определенной деятельностью, вносится запись о том, на каком основании, на какой срок и какую должность он лишен права занимать (какой деятельностью лишен права заниматься);</w:t>
      </w:r>
    </w:p>
    <w:p w14:paraId="37000000">
      <w:pPr>
        <w:numPr>
          <w:ilvl w:val="0"/>
          <w:numId w:val="11"/>
        </w:num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случае изменения наименования страхователя указывается, что «Старое наименование» с конкретного числа переименовано в «Новое наименование страхователя»;</w:t>
      </w:r>
    </w:p>
    <w:p w14:paraId="38000000">
      <w:pPr>
        <w:numPr>
          <w:ilvl w:val="0"/>
          <w:numId w:val="11"/>
        </w:num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 заполнении кадрового мероприятия «Увольнение» в графе 4 «Должность», «Структурное подразделение» не заполняется.</w:t>
      </w:r>
    </w:p>
    <w:p w14:paraId="39000000">
      <w:pPr>
        <w:numPr>
          <w:ilvl w:val="0"/>
          <w:numId w:val="11"/>
        </w:num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графа 5 «Код выполняемой функции (при наличии)» заполняется с 01.01.2021.</w:t>
      </w:r>
    </w:p>
    <w:p w14:paraId="3A000000">
      <w:pPr>
        <w:numPr>
          <w:ilvl w:val="0"/>
          <w:numId w:val="11"/>
        </w:num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в графе 6 указываются без каких-либо сокращений причина прекращения трудового договора и пункт, часть статьи, статья Трудового кодекса Российской Федерации или иного федерального закона, являющиеся основанием для увольнения.</w:t>
      </w:r>
    </w:p>
    <w:p w14:paraId="3B000000">
      <w:pPr>
        <w:numPr>
          <w:ilvl w:val="0"/>
          <w:numId w:val="11"/>
        </w:num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в графах 7,8,9 подраздела «Основание» указывается данные документа, подтверждающего оформление кадрового мероприятия или изменение наименование организации, его дата ( ДД.ММ</w:t>
      </w:r>
      <w:r>
        <w:rPr>
          <w:rFonts w:ascii="Times New Roman" w:hAnsi="Times New Roman"/>
          <w:sz w:val="24"/>
        </w:rPr>
        <w:t>.Г</w:t>
      </w:r>
      <w:r>
        <w:rPr>
          <w:rFonts w:ascii="Times New Roman" w:hAnsi="Times New Roman"/>
          <w:sz w:val="24"/>
        </w:rPr>
        <w:t>ГГГ) и номер. Номер документа указывается без знака «№».</w:t>
      </w:r>
    </w:p>
    <w:p w14:paraId="3C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3.7 . С 1 января 2021 года:</w:t>
      </w:r>
    </w:p>
    <w:p w14:paraId="3D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 в случаях перевода на другую постоянную работу, подачи зарегистрированным лицом заявления о продолжении ведения страхователем трудовой книжки либо о предоставлении страхователем ему сведений о трудовой деятельности Форма СЗВ-ТД представляется не позднее 15-го числа месяца, следующего за месяцем, в котором имели место перевод на другую постоянную работу или подача соответствующего заявления;</w:t>
      </w:r>
    </w:p>
    <w:p w14:paraId="3E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 в случаях приема на работу и увольнения зарегистрированного лица - не позднее рабочего дня, следующего за днем издания соответствующего приказа (распоряжения), иных решений или документов, подтверждающих оформление трудовых отношений.</w:t>
      </w:r>
    </w:p>
    <w:p w14:paraId="3F000000">
      <w:pPr>
        <w:numPr>
          <w:ilvl w:val="0"/>
          <w:numId w:val="12"/>
        </w:num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>Порядок корректировки сведений о трудовой деятельности формы СЗВ-ТД</w:t>
      </w:r>
    </w:p>
    <w:p w14:paraId="40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4.1. С целью корректировки (отмены) сведений о кадровых мероприятиях, учтенных на индивидуальном лицевом счете зарегистрированного </w:t>
      </w:r>
      <w:r>
        <w:rPr>
          <w:rFonts w:ascii="Times New Roman" w:hAnsi="Times New Roman"/>
          <w:sz w:val="24"/>
        </w:rPr>
        <w:t>лица</w:t>
      </w:r>
      <w:r>
        <w:rPr>
          <w:rFonts w:ascii="Times New Roman" w:hAnsi="Times New Roman"/>
          <w:sz w:val="24"/>
        </w:rPr>
        <w:t xml:space="preserve"> на основании отчетности, ранее представленной страхователем (положительный протокол), форма СЗВ-ТД заполняется в следующем порядке:</w:t>
      </w:r>
    </w:p>
    <w:p w14:paraId="41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в случае отмены записи в графах с 2 по 9 раздела «Сведения о трудовой деятельности зарегистрированного лица», страхователем представляется форма СЗВ-ТД, заполненная в полном соответствии с первоначальными сведениями (графы 2-9), которые требуется отменить, при этом  в графе 10 «Признак отмены записи сведений о приеме, переводе, увольнении» проставляется знак «X»;</w:t>
      </w:r>
    </w:p>
    <w:p w14:paraId="42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если требуется скорректировать (исправить) сведения о трудовой деятельности по зарегистрированному лицу (графы с 2 по 9), необходимо в первой строке отменить ранее представленные сведения в соответствии с пп.4.1.1, и в следующей строке заполнить скорректированные (исправленные) сведения (графы с 2 по 9).</w:t>
      </w:r>
    </w:p>
    <w:p w14:paraId="43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</w:t>
      </w:r>
    </w:p>
    <w:p w14:paraId="44000000">
      <w:pPr>
        <w:numPr>
          <w:ilvl w:val="0"/>
          <w:numId w:val="13"/>
        </w:num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>Ответственность страхователей за непредставление ими в установленный срок либо представление им неполных и (или) недостоверных сведений</w:t>
      </w:r>
    </w:p>
    <w:p w14:paraId="45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 непредставление в установленный срок либо представление неполных и (или) недостоверных сведений, предусмотренных пунктом 2.1 статьи 6 Федерального закона от 01.04.1996 №27-ФЗ "Об индивидуальном (персонифицированном) учете в системе обязательного пенсионного страхования", страхователь или его должностное лицо привлекается к административной ответственности за нарушение трудового законодательства и иных нормативных правовых актов, содержащих нормы трудового права.</w:t>
      </w:r>
    </w:p>
    <w:p w14:paraId="46000000"/>
    <w:sectPr>
      <w:pgSz w:h="16838" w:w="11906"/>
      <w:pgMar w:bottom="284" w:footer="709" w:gutter="0" w:header="709" w:left="1701" w:right="851" w:top="238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abstractNum w:abstractNumId="0">
    <w:lvl w:ilvl="0">
      <w:start w:val="1"/>
      <w:numFmt w:val="bullet"/>
      <w:lvlText w:val=""/>
      <w:lvlJc w:val="left"/>
      <w:pPr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1">
    <w:lvl w:ilvl="0">
      <w:start w:val="2"/>
      <w:numFmt w:val="decimal"/>
      <w:lvlText w:val="%1."/>
      <w:lvlJc w:val="left"/>
      <w:pPr>
        <w:tabs>
          <w:tab w:leader="none" w:pos="720" w:val="left"/>
        </w:tabs>
        <w:ind w:hanging="360" w:left="720"/>
      </w:pPr>
    </w:lvl>
    <w:lvl w:ilvl="1">
      <w:start w:val="1"/>
      <w:numFmt w:val="decimal"/>
      <w:lvlText w:val="%2."/>
      <w:lvlJc w:val="left"/>
      <w:pPr>
        <w:tabs>
          <w:tab w:leader="none" w:pos="1440" w:val="left"/>
        </w:tabs>
        <w:ind w:hanging="360" w:left="1440"/>
      </w:pPr>
    </w:lvl>
    <w:lvl w:ilvl="2">
      <w:start w:val="1"/>
      <w:numFmt w:val="decimal"/>
      <w:lvlText w:val="%3."/>
      <w:lvlJc w:val="left"/>
      <w:pPr>
        <w:tabs>
          <w:tab w:leader="none" w:pos="2160" w:val="left"/>
        </w:tabs>
        <w:ind w:hanging="360" w:left="2160"/>
      </w:pPr>
    </w:lvl>
    <w:lvl w:ilvl="3">
      <w:start w:val="1"/>
      <w:numFmt w:val="decimal"/>
      <w:lvlText w:val="%4."/>
      <w:lvlJc w:val="left"/>
      <w:pPr>
        <w:tabs>
          <w:tab w:leader="none" w:pos="2880" w:val="left"/>
        </w:tabs>
        <w:ind w:hanging="360" w:left="2880"/>
      </w:pPr>
    </w:lvl>
    <w:lvl w:ilvl="4">
      <w:start w:val="1"/>
      <w:numFmt w:val="decimal"/>
      <w:lvlText w:val="%5."/>
      <w:lvlJc w:val="left"/>
      <w:pPr>
        <w:tabs>
          <w:tab w:leader="none" w:pos="3600" w:val="left"/>
        </w:tabs>
        <w:ind w:hanging="360" w:left="3600"/>
      </w:pPr>
    </w:lvl>
    <w:lvl w:ilvl="5">
      <w:start w:val="1"/>
      <w:numFmt w:val="decimal"/>
      <w:lvlText w:val="%6."/>
      <w:lvlJc w:val="left"/>
      <w:pPr>
        <w:tabs>
          <w:tab w:leader="none" w:pos="4320" w:val="left"/>
        </w:tabs>
        <w:ind w:hanging="360" w:left="4320"/>
      </w:pPr>
    </w:lvl>
    <w:lvl w:ilvl="6">
      <w:start w:val="1"/>
      <w:numFmt w:val="decimal"/>
      <w:lvlText w:val="%7."/>
      <w:lvlJc w:val="left"/>
      <w:pPr>
        <w:tabs>
          <w:tab w:leader="none" w:pos="5040" w:val="left"/>
        </w:tabs>
        <w:ind w:hanging="360" w:left="5040"/>
      </w:pPr>
    </w:lvl>
    <w:lvl w:ilvl="7">
      <w:start w:val="1"/>
      <w:numFmt w:val="decimal"/>
      <w:lvlText w:val="%8."/>
      <w:lvlJc w:val="left"/>
      <w:pPr>
        <w:tabs>
          <w:tab w:leader="none" w:pos="5760" w:val="left"/>
        </w:tabs>
        <w:ind w:hanging="360" w:left="5760"/>
      </w:pPr>
    </w:lvl>
    <w:lvl w:ilvl="8">
      <w:start w:val="1"/>
      <w:numFmt w:val="decimal"/>
      <w:lvlText w:val="%9."/>
      <w:lvlJc w:val="left"/>
      <w:pPr>
        <w:tabs>
          <w:tab w:leader="none" w:pos="6480" w:val="left"/>
        </w:tabs>
        <w:ind w:hanging="360" w:left="648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4">
    <w:lvl w:ilvl="0">
      <w:start w:val="3"/>
      <w:numFmt w:val="decimal"/>
      <w:lvlText w:val="%1."/>
      <w:lvlJc w:val="left"/>
      <w:pPr>
        <w:tabs>
          <w:tab w:leader="none" w:pos="720" w:val="left"/>
        </w:tabs>
        <w:ind w:hanging="360" w:left="720"/>
      </w:pPr>
    </w:lvl>
    <w:lvl w:ilvl="1">
      <w:start w:val="1"/>
      <w:numFmt w:val="decimal"/>
      <w:lvlText w:val="%2."/>
      <w:lvlJc w:val="left"/>
      <w:pPr>
        <w:tabs>
          <w:tab w:leader="none" w:pos="1440" w:val="left"/>
        </w:tabs>
        <w:ind w:hanging="360" w:left="1440"/>
      </w:pPr>
    </w:lvl>
    <w:lvl w:ilvl="2">
      <w:start w:val="1"/>
      <w:numFmt w:val="decimal"/>
      <w:lvlText w:val="%3."/>
      <w:lvlJc w:val="left"/>
      <w:pPr>
        <w:tabs>
          <w:tab w:leader="none" w:pos="2160" w:val="left"/>
        </w:tabs>
        <w:ind w:hanging="360" w:left="2160"/>
      </w:pPr>
    </w:lvl>
    <w:lvl w:ilvl="3">
      <w:start w:val="1"/>
      <w:numFmt w:val="decimal"/>
      <w:lvlText w:val="%4."/>
      <w:lvlJc w:val="left"/>
      <w:pPr>
        <w:tabs>
          <w:tab w:leader="none" w:pos="2880" w:val="left"/>
        </w:tabs>
        <w:ind w:hanging="360" w:left="2880"/>
      </w:pPr>
    </w:lvl>
    <w:lvl w:ilvl="4">
      <w:start w:val="1"/>
      <w:numFmt w:val="decimal"/>
      <w:lvlText w:val="%5."/>
      <w:lvlJc w:val="left"/>
      <w:pPr>
        <w:tabs>
          <w:tab w:leader="none" w:pos="3600" w:val="left"/>
        </w:tabs>
        <w:ind w:hanging="360" w:left="3600"/>
      </w:pPr>
    </w:lvl>
    <w:lvl w:ilvl="5">
      <w:start w:val="1"/>
      <w:numFmt w:val="decimal"/>
      <w:lvlText w:val="%6."/>
      <w:lvlJc w:val="left"/>
      <w:pPr>
        <w:tabs>
          <w:tab w:leader="none" w:pos="4320" w:val="left"/>
        </w:tabs>
        <w:ind w:hanging="360" w:left="4320"/>
      </w:pPr>
    </w:lvl>
    <w:lvl w:ilvl="6">
      <w:start w:val="1"/>
      <w:numFmt w:val="decimal"/>
      <w:lvlText w:val="%7."/>
      <w:lvlJc w:val="left"/>
      <w:pPr>
        <w:tabs>
          <w:tab w:leader="none" w:pos="5040" w:val="left"/>
        </w:tabs>
        <w:ind w:hanging="360" w:left="5040"/>
      </w:pPr>
    </w:lvl>
    <w:lvl w:ilvl="7">
      <w:start w:val="1"/>
      <w:numFmt w:val="decimal"/>
      <w:lvlText w:val="%8."/>
      <w:lvlJc w:val="left"/>
      <w:pPr>
        <w:tabs>
          <w:tab w:leader="none" w:pos="5760" w:val="left"/>
        </w:tabs>
        <w:ind w:hanging="360" w:left="5760"/>
      </w:pPr>
    </w:lvl>
    <w:lvl w:ilvl="8">
      <w:start w:val="1"/>
      <w:numFmt w:val="decimal"/>
      <w:lvlText w:val="%9."/>
      <w:lvlJc w:val="left"/>
      <w:pPr>
        <w:tabs>
          <w:tab w:leader="none" w:pos="6480" w:val="left"/>
        </w:tabs>
        <w:ind w:hanging="360" w:left="6480"/>
      </w:pPr>
    </w:lvl>
  </w:abstractNum>
  <w:abstractNum w:abstractNumId="5">
    <w:lvl w:ilvl="0">
      <w:start w:val="1"/>
      <w:numFmt w:val="bullet"/>
      <w:lvlText w:val=""/>
      <w:lvlJc w:val="left"/>
      <w:pPr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9">
    <w:lvl w:ilvl="0">
      <w:start w:val="1"/>
      <w:numFmt w:val="bullet"/>
      <w:lvlText w:val=""/>
      <w:lvlJc w:val="left"/>
      <w:pPr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10">
    <w:lvl w:ilvl="0">
      <w:start w:val="1"/>
      <w:numFmt w:val="bullet"/>
      <w:lvlText w:val=""/>
      <w:lvlJc w:val="left"/>
      <w:pPr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11">
    <w:lvl w:ilvl="0">
      <w:start w:val="4"/>
      <w:numFmt w:val="decimal"/>
      <w:lvlText w:val="%1."/>
      <w:lvlJc w:val="left"/>
      <w:pPr>
        <w:tabs>
          <w:tab w:leader="none" w:pos="720" w:val="left"/>
        </w:tabs>
        <w:ind w:hanging="360" w:left="720"/>
      </w:pPr>
    </w:lvl>
    <w:lvl w:ilvl="1">
      <w:start w:val="1"/>
      <w:numFmt w:val="decimal"/>
      <w:lvlText w:val="%2."/>
      <w:lvlJc w:val="left"/>
      <w:pPr>
        <w:tabs>
          <w:tab w:leader="none" w:pos="1440" w:val="left"/>
        </w:tabs>
        <w:ind w:hanging="360" w:left="1440"/>
      </w:pPr>
    </w:lvl>
    <w:lvl w:ilvl="2">
      <w:start w:val="1"/>
      <w:numFmt w:val="decimal"/>
      <w:lvlText w:val="%3."/>
      <w:lvlJc w:val="left"/>
      <w:pPr>
        <w:tabs>
          <w:tab w:leader="none" w:pos="2160" w:val="left"/>
        </w:tabs>
        <w:ind w:hanging="360" w:left="2160"/>
      </w:pPr>
    </w:lvl>
    <w:lvl w:ilvl="3">
      <w:start w:val="1"/>
      <w:numFmt w:val="decimal"/>
      <w:lvlText w:val="%4."/>
      <w:lvlJc w:val="left"/>
      <w:pPr>
        <w:tabs>
          <w:tab w:leader="none" w:pos="2880" w:val="left"/>
        </w:tabs>
        <w:ind w:hanging="360" w:left="2880"/>
      </w:pPr>
    </w:lvl>
    <w:lvl w:ilvl="4">
      <w:start w:val="1"/>
      <w:numFmt w:val="decimal"/>
      <w:lvlText w:val="%5."/>
      <w:lvlJc w:val="left"/>
      <w:pPr>
        <w:tabs>
          <w:tab w:leader="none" w:pos="3600" w:val="left"/>
        </w:tabs>
        <w:ind w:hanging="360" w:left="3600"/>
      </w:pPr>
    </w:lvl>
    <w:lvl w:ilvl="5">
      <w:start w:val="1"/>
      <w:numFmt w:val="decimal"/>
      <w:lvlText w:val="%6."/>
      <w:lvlJc w:val="left"/>
      <w:pPr>
        <w:tabs>
          <w:tab w:leader="none" w:pos="4320" w:val="left"/>
        </w:tabs>
        <w:ind w:hanging="360" w:left="4320"/>
      </w:pPr>
    </w:lvl>
    <w:lvl w:ilvl="6">
      <w:start w:val="1"/>
      <w:numFmt w:val="decimal"/>
      <w:lvlText w:val="%7."/>
      <w:lvlJc w:val="left"/>
      <w:pPr>
        <w:tabs>
          <w:tab w:leader="none" w:pos="5040" w:val="left"/>
        </w:tabs>
        <w:ind w:hanging="360" w:left="5040"/>
      </w:pPr>
    </w:lvl>
    <w:lvl w:ilvl="7">
      <w:start w:val="1"/>
      <w:numFmt w:val="decimal"/>
      <w:lvlText w:val="%8."/>
      <w:lvlJc w:val="left"/>
      <w:pPr>
        <w:tabs>
          <w:tab w:leader="none" w:pos="5760" w:val="left"/>
        </w:tabs>
        <w:ind w:hanging="360" w:left="5760"/>
      </w:pPr>
    </w:lvl>
    <w:lvl w:ilvl="8">
      <w:start w:val="1"/>
      <w:numFmt w:val="decimal"/>
      <w:lvlText w:val="%9."/>
      <w:lvlJc w:val="left"/>
      <w:pPr>
        <w:tabs>
          <w:tab w:leader="none" w:pos="6480" w:val="left"/>
        </w:tabs>
        <w:ind w:hanging="360" w:left="6480"/>
      </w:pPr>
    </w:lvl>
  </w:abstractNum>
  <w:abstractNum w:abstractNumId="12">
    <w:lvl w:ilvl="0">
      <w:start w:val="5"/>
      <w:numFmt w:val="decimal"/>
      <w:lvlText w:val="%1."/>
      <w:lvlJc w:val="left"/>
      <w:pPr>
        <w:tabs>
          <w:tab w:leader="none" w:pos="720" w:val="left"/>
        </w:tabs>
        <w:ind w:hanging="360" w:left="720"/>
      </w:pPr>
    </w:lvl>
    <w:lvl w:ilvl="1">
      <w:start w:val="1"/>
      <w:numFmt w:val="decimal"/>
      <w:lvlText w:val="%2."/>
      <w:lvlJc w:val="left"/>
      <w:pPr>
        <w:tabs>
          <w:tab w:leader="none" w:pos="1440" w:val="left"/>
        </w:tabs>
        <w:ind w:hanging="360" w:left="1440"/>
      </w:pPr>
    </w:lvl>
    <w:lvl w:ilvl="2">
      <w:start w:val="1"/>
      <w:numFmt w:val="decimal"/>
      <w:lvlText w:val="%3."/>
      <w:lvlJc w:val="left"/>
      <w:pPr>
        <w:tabs>
          <w:tab w:leader="none" w:pos="2160" w:val="left"/>
        </w:tabs>
        <w:ind w:hanging="360" w:left="2160"/>
      </w:pPr>
    </w:lvl>
    <w:lvl w:ilvl="3">
      <w:start w:val="1"/>
      <w:numFmt w:val="decimal"/>
      <w:lvlText w:val="%4."/>
      <w:lvlJc w:val="left"/>
      <w:pPr>
        <w:tabs>
          <w:tab w:leader="none" w:pos="2880" w:val="left"/>
        </w:tabs>
        <w:ind w:hanging="360" w:left="2880"/>
      </w:pPr>
    </w:lvl>
    <w:lvl w:ilvl="4">
      <w:start w:val="1"/>
      <w:numFmt w:val="decimal"/>
      <w:lvlText w:val="%5."/>
      <w:lvlJc w:val="left"/>
      <w:pPr>
        <w:tabs>
          <w:tab w:leader="none" w:pos="3600" w:val="left"/>
        </w:tabs>
        <w:ind w:hanging="360" w:left="3600"/>
      </w:pPr>
    </w:lvl>
    <w:lvl w:ilvl="5">
      <w:start w:val="1"/>
      <w:numFmt w:val="decimal"/>
      <w:lvlText w:val="%6."/>
      <w:lvlJc w:val="left"/>
      <w:pPr>
        <w:tabs>
          <w:tab w:leader="none" w:pos="4320" w:val="left"/>
        </w:tabs>
        <w:ind w:hanging="360" w:left="4320"/>
      </w:pPr>
    </w:lvl>
    <w:lvl w:ilvl="6">
      <w:start w:val="1"/>
      <w:numFmt w:val="decimal"/>
      <w:lvlText w:val="%7."/>
      <w:lvlJc w:val="left"/>
      <w:pPr>
        <w:tabs>
          <w:tab w:leader="none" w:pos="5040" w:val="left"/>
        </w:tabs>
        <w:ind w:hanging="360" w:left="5040"/>
      </w:pPr>
    </w:lvl>
    <w:lvl w:ilvl="7">
      <w:start w:val="1"/>
      <w:numFmt w:val="decimal"/>
      <w:lvlText w:val="%8."/>
      <w:lvlJc w:val="left"/>
      <w:pPr>
        <w:tabs>
          <w:tab w:leader="none" w:pos="5760" w:val="left"/>
        </w:tabs>
        <w:ind w:hanging="360" w:left="5760"/>
      </w:pPr>
    </w:lvl>
    <w:lvl w:ilvl="8">
      <w:start w:val="1"/>
      <w:numFmt w:val="decimal"/>
      <w:lvlText w:val="%9."/>
      <w:lvlJc w:val="left"/>
      <w:pPr>
        <w:tabs>
          <w:tab w:leader="none" w:pos="6480" w:val="left"/>
        </w:tabs>
        <w:ind w:hanging="360" w:left="6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</w:pPr>
  </w:style>
  <w:style w:styleId="Style_2_ch" w:type="character">
    <w:name w:val="toc 2"/>
    <w:link w:val="Style_2"/>
  </w:style>
  <w:style w:styleId="Style_3" w:type="paragraph">
    <w:name w:val="toc 4"/>
    <w:next w:val="Style_1"/>
    <w:link w:val="Style_3_ch"/>
    <w:uiPriority w:val="39"/>
    <w:pPr>
      <w:ind w:firstLine="0" w:left="600"/>
    </w:pPr>
  </w:style>
  <w:style w:styleId="Style_3_ch" w:type="character">
    <w:name w:val="toc 4"/>
    <w:link w:val="Style_3"/>
  </w:style>
  <w:style w:styleId="Style_4" w:type="paragraph">
    <w:name w:val="toc 6"/>
    <w:next w:val="Style_1"/>
    <w:link w:val="Style_4_ch"/>
    <w:uiPriority w:val="39"/>
    <w:pPr>
      <w:ind w:firstLine="0" w:left="1000"/>
    </w:pPr>
  </w:style>
  <w:style w:styleId="Style_4_ch" w:type="character">
    <w:name w:val="toc 6"/>
    <w:link w:val="Style_4"/>
  </w:style>
  <w:style w:styleId="Style_5" w:type="paragraph">
    <w:name w:val="toc 7"/>
    <w:next w:val="Style_1"/>
    <w:link w:val="Style_5_ch"/>
    <w:uiPriority w:val="39"/>
    <w:pPr>
      <w:ind w:firstLine="0" w:left="1200"/>
    </w:pPr>
  </w:style>
  <w:style w:styleId="Style_5_ch" w:type="character">
    <w:name w:val="toc 7"/>
    <w:link w:val="Style_5"/>
  </w:style>
  <w:style w:styleId="Style_6" w:type="paragraph">
    <w:name w:val="heading 3"/>
    <w:basedOn w:val="Style_1"/>
    <w:link w:val="Style_6_ch"/>
    <w:uiPriority w:val="9"/>
    <w:qFormat/>
    <w:pPr>
      <w:spacing w:afterAutospacing="on" w:beforeAutospacing="on" w:line="240" w:lineRule="auto"/>
      <w:ind/>
      <w:outlineLvl w:val="2"/>
    </w:pPr>
    <w:rPr>
      <w:rFonts w:ascii="Times New Roman" w:hAnsi="Times New Roman"/>
      <w:b w:val="1"/>
      <w:sz w:val="27"/>
    </w:rPr>
  </w:style>
  <w:style w:styleId="Style_6_ch" w:type="character">
    <w:name w:val="heading 3"/>
    <w:basedOn w:val="Style_1_ch"/>
    <w:link w:val="Style_6"/>
    <w:rPr>
      <w:rFonts w:ascii="Times New Roman" w:hAnsi="Times New Roman"/>
      <w:b w:val="1"/>
      <w:sz w:val="27"/>
    </w:rPr>
  </w:style>
  <w:style w:styleId="Style_7" w:type="paragraph">
    <w:name w:val="Normal (Web)"/>
    <w:basedOn w:val="Style_1"/>
    <w:link w:val="Style_7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7_ch" w:type="character">
    <w:name w:val="Normal (Web)"/>
    <w:basedOn w:val="Style_1_ch"/>
    <w:link w:val="Style_7"/>
    <w:rPr>
      <w:rFonts w:ascii="Times New Roman" w:hAnsi="Times New Roman"/>
      <w:sz w:val="24"/>
    </w:rPr>
  </w:style>
  <w:style w:styleId="Style_8" w:type="paragraph">
    <w:name w:val="toc 3"/>
    <w:next w:val="Style_1"/>
    <w:link w:val="Style_8_ch"/>
    <w:uiPriority w:val="39"/>
    <w:pPr>
      <w:ind w:firstLine="0" w:left="400"/>
    </w:pPr>
  </w:style>
  <w:style w:styleId="Style_8_ch" w:type="character">
    <w:name w:val="toc 3"/>
    <w:link w:val="Style_8"/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9_ch" w:type="character">
    <w:name w:val="heading 5"/>
    <w:link w:val="Style_9"/>
    <w:rPr>
      <w:rFonts w:ascii="XO Thames" w:hAnsi="XO Thames"/>
      <w:b w:val="1"/>
      <w:color w:val="000000"/>
      <w:sz w:val="22"/>
    </w:rPr>
  </w:style>
  <w:style w:styleId="Style_10" w:type="paragraph">
    <w:name w:val="heading 1"/>
    <w:basedOn w:val="Style_1"/>
    <w:link w:val="Style_10_ch"/>
    <w:uiPriority w:val="9"/>
    <w:qFormat/>
    <w:pPr>
      <w:spacing w:afterAutospacing="on" w:beforeAutospacing="on" w:line="240" w:lineRule="auto"/>
      <w:ind/>
      <w:outlineLvl w:val="0"/>
    </w:pPr>
    <w:rPr>
      <w:rFonts w:ascii="Times New Roman" w:hAnsi="Times New Roman"/>
      <w:b w:val="1"/>
      <w:sz w:val="48"/>
    </w:rPr>
  </w:style>
  <w:style w:styleId="Style_10_ch" w:type="character">
    <w:name w:val="heading 1"/>
    <w:basedOn w:val="Style_1_ch"/>
    <w:link w:val="Style_10"/>
    <w:rPr>
      <w:rFonts w:ascii="Times New Roman" w:hAnsi="Times New Roman"/>
      <w:b w:val="1"/>
      <w:sz w:val="48"/>
    </w:rPr>
  </w:style>
  <w:style w:styleId="Style_11" w:type="paragraph">
    <w:name w:val="Hyperlink"/>
    <w:basedOn w:val="Style_12"/>
    <w:link w:val="Style_11_ch"/>
    <w:rPr>
      <w:color w:val="0000FF"/>
      <w:u w:val="single"/>
    </w:rPr>
  </w:style>
  <w:style w:styleId="Style_11_ch" w:type="character">
    <w:name w:val="Hyperlink"/>
    <w:basedOn w:val="Style_12_ch"/>
    <w:link w:val="Style_11"/>
    <w:rPr>
      <w:color w:val="0000FF"/>
      <w:u w:val="single"/>
    </w:rPr>
  </w:style>
  <w:style w:styleId="Style_13" w:type="paragraph">
    <w:name w:val="Footnote"/>
    <w:link w:val="Style_13_ch"/>
    <w:pPr>
      <w:ind/>
      <w:jc w:val="left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1"/>
    <w:link w:val="Style_14_ch"/>
    <w:uiPriority w:val="39"/>
    <w:pPr>
      <w:ind w:firstLine="0" w:left="0"/>
    </w:pPr>
    <w:rPr>
      <w:rFonts w:ascii="XO Thames" w:hAnsi="XO Thames"/>
      <w:b w:val="1"/>
    </w:rPr>
  </w:style>
  <w:style w:styleId="Style_14_ch" w:type="character">
    <w:name w:val="toc 1"/>
    <w:link w:val="Style_14"/>
    <w:rPr>
      <w:rFonts w:ascii="XO Thames" w:hAnsi="XO Thames"/>
      <w:b w:val="1"/>
    </w:rPr>
  </w:style>
  <w:style w:styleId="Style_15" w:type="paragraph">
    <w:name w:val="Header and Footer"/>
    <w:link w:val="Style_15_ch"/>
    <w:pPr>
      <w:spacing w:line="360" w:lineRule="auto"/>
      <w:ind/>
    </w:pPr>
    <w:rPr>
      <w:rFonts w:ascii="XO Thames" w:hAnsi="XO Thames"/>
      <w:sz w:val="20"/>
    </w:rPr>
  </w:style>
  <w:style w:styleId="Style_15_ch" w:type="character">
    <w:name w:val="Header and Footer"/>
    <w:link w:val="Style_15"/>
    <w:rPr>
      <w:rFonts w:ascii="XO Thames" w:hAnsi="XO Thames"/>
      <w:sz w:val="20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16" w:type="paragraph">
    <w:name w:val="toc 9"/>
    <w:next w:val="Style_1"/>
    <w:link w:val="Style_16_ch"/>
    <w:uiPriority w:val="39"/>
    <w:pPr>
      <w:ind w:firstLine="0" w:left="1600"/>
    </w:pPr>
  </w:style>
  <w:style w:styleId="Style_16_ch" w:type="character">
    <w:name w:val="toc 9"/>
    <w:link w:val="Style_16"/>
  </w:style>
  <w:style w:styleId="Style_17" w:type="paragraph">
    <w:name w:val="toc 8"/>
    <w:next w:val="Style_1"/>
    <w:link w:val="Style_17_ch"/>
    <w:uiPriority w:val="39"/>
    <w:pPr>
      <w:ind w:firstLine="0" w:left="1400"/>
    </w:pPr>
  </w:style>
  <w:style w:styleId="Style_17_ch" w:type="character">
    <w:name w:val="toc 8"/>
    <w:link w:val="Style_17"/>
  </w:style>
  <w:style w:styleId="Style_18" w:type="paragraph">
    <w:name w:val="Balloon Text"/>
    <w:basedOn w:val="Style_1"/>
    <w:link w:val="Style_18_ch"/>
    <w:pPr>
      <w:spacing w:after="0" w:line="240" w:lineRule="auto"/>
      <w:ind/>
    </w:pPr>
    <w:rPr>
      <w:rFonts w:ascii="Tahoma" w:hAnsi="Tahoma"/>
      <w:sz w:val="16"/>
    </w:rPr>
  </w:style>
  <w:style w:styleId="Style_18_ch" w:type="character">
    <w:name w:val="Balloon Text"/>
    <w:basedOn w:val="Style_1_ch"/>
    <w:link w:val="Style_18"/>
    <w:rPr>
      <w:rFonts w:ascii="Tahoma" w:hAnsi="Tahoma"/>
      <w:sz w:val="16"/>
    </w:rPr>
  </w:style>
  <w:style w:styleId="Style_19" w:type="paragraph">
    <w:name w:val="toc 5"/>
    <w:next w:val="Style_1"/>
    <w:link w:val="Style_19_ch"/>
    <w:uiPriority w:val="39"/>
    <w:pPr>
      <w:ind w:firstLine="0" w:left="800"/>
    </w:pPr>
  </w:style>
  <w:style w:styleId="Style_19_ch" w:type="character">
    <w:name w:val="toc 5"/>
    <w:link w:val="Style_19"/>
  </w:style>
  <w:style w:styleId="Style_20" w:type="paragraph">
    <w:name w:val="Strong"/>
    <w:basedOn w:val="Style_12"/>
    <w:link w:val="Style_20_ch"/>
    <w:rPr>
      <w:b w:val="1"/>
    </w:rPr>
  </w:style>
  <w:style w:styleId="Style_20_ch" w:type="character">
    <w:name w:val="Strong"/>
    <w:basedOn w:val="Style_12_ch"/>
    <w:link w:val="Style_20"/>
    <w:rPr>
      <w:b w:val="1"/>
    </w:rPr>
  </w:style>
  <w:style w:styleId="Style_21" w:type="paragraph">
    <w:name w:val="Subtitle"/>
    <w:next w:val="Style_1"/>
    <w:link w:val="Style_21_ch"/>
    <w:uiPriority w:val="11"/>
    <w:qFormat/>
    <w:rPr>
      <w:rFonts w:ascii="XO Thames" w:hAnsi="XO Thames"/>
      <w:i w:val="1"/>
      <w:color w:val="616161"/>
      <w:sz w:val="24"/>
    </w:rPr>
  </w:style>
  <w:style w:styleId="Style_21_ch" w:type="character">
    <w:name w:val="Subtitle"/>
    <w:link w:val="Style_21"/>
    <w:rPr>
      <w:rFonts w:ascii="XO Thames" w:hAnsi="XO Thames"/>
      <w:i w:val="1"/>
      <w:color w:val="616161"/>
      <w:sz w:val="24"/>
    </w:rPr>
  </w:style>
  <w:style w:styleId="Style_22" w:type="paragraph">
    <w:name w:val="toc 10"/>
    <w:next w:val="Style_1"/>
    <w:link w:val="Style_22_ch"/>
    <w:uiPriority w:val="39"/>
    <w:pPr>
      <w:ind w:firstLine="0" w:left="1800"/>
    </w:pPr>
  </w:style>
  <w:style w:styleId="Style_22_ch" w:type="character">
    <w:name w:val="toc 10"/>
    <w:link w:val="Style_22"/>
  </w:style>
  <w:style w:styleId="Style_23" w:type="paragraph">
    <w:name w:val="Title"/>
    <w:next w:val="Style_1"/>
    <w:link w:val="Style_23_ch"/>
    <w:uiPriority w:val="10"/>
    <w:qFormat/>
    <w:rPr>
      <w:rFonts w:ascii="XO Thames" w:hAnsi="XO Thames"/>
      <w:b w:val="1"/>
      <w:sz w:val="52"/>
    </w:rPr>
  </w:style>
  <w:style w:styleId="Style_23_ch" w:type="character">
    <w:name w:val="Title"/>
    <w:link w:val="Style_23"/>
    <w:rPr>
      <w:rFonts w:ascii="XO Thames" w:hAnsi="XO Thames"/>
      <w:b w:val="1"/>
      <w:sz w:val="52"/>
    </w:rPr>
  </w:style>
  <w:style w:styleId="Style_24" w:type="paragraph">
    <w:name w:val="heading 4"/>
    <w:next w:val="Style_1"/>
    <w:link w:val="Style_24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4_ch" w:type="character">
    <w:name w:val="heading 4"/>
    <w:link w:val="Style_24"/>
    <w:rPr>
      <w:rFonts w:ascii="XO Thames" w:hAnsi="XO Thames"/>
      <w:b w:val="1"/>
      <w:color w:val="595959"/>
      <w:sz w:val="26"/>
    </w:rPr>
  </w:style>
  <w:style w:styleId="Style_25" w:type="paragraph">
    <w:name w:val="heading 2"/>
    <w:next w:val="Style_1"/>
    <w:link w:val="Style_25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5_ch" w:type="character">
    <w:name w:val="heading 2"/>
    <w:link w:val="Style_25"/>
    <w:rPr>
      <w:rFonts w:ascii="XO Thames" w:hAnsi="XO Thames"/>
      <w:b w:val="1"/>
      <w:color w:val="00A0FF"/>
      <w:sz w:val="26"/>
    </w:rPr>
  </w:style>
  <w:style w:styleId="Style_26" w:type="table">
    <w:name w:val="Table Grid"/>
    <w:basedOn w:val="Style_27"/>
    <w:pPr>
      <w:spacing w:after="0" w:line="240" w:lineRule="auto"/>
      <w:ind/>
    </w:pPr>
    <w:tblPr>
      <w:tblInd w:type="dxa" w:w="0"/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default="1" w:styleId="Style_2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 w="9525">
          <a:solidFill>
            <a:schemeClr val="phClr">
              <a:shade val="95%"/>
              <a:satMod val="105%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