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pStyle w:val="Style_1"/>
      </w:pPr>
      <w:r>
        <w:t xml:space="preserve"> </w:t>
      </w:r>
      <w:r>
        <w:t>О гражданах, у которых не изменились условия назначения досрочных пенсий в 2020 году</w:t>
      </w:r>
    </w:p>
    <w:p w14:paraId="02000000">
      <w:pPr>
        <w:spacing w:afterAutospacing="on" w:beforeAutospacing="on" w:line="240" w:lineRule="auto"/>
        <w:ind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УПФР в </w:t>
      </w:r>
      <w:r>
        <w:rPr>
          <w:rFonts w:ascii="Times New Roman" w:hAnsi="Times New Roman"/>
          <w:sz w:val="24"/>
        </w:rPr>
        <w:t>Торбеевском</w:t>
      </w:r>
      <w:r>
        <w:rPr>
          <w:rFonts w:ascii="Times New Roman" w:hAnsi="Times New Roman"/>
          <w:sz w:val="24"/>
        </w:rPr>
        <w:t xml:space="preserve"> муниципальном районе Республики Мордовия (межрайонное)</w:t>
      </w:r>
      <w:bookmarkStart w:id="1" w:name="_GoBack"/>
      <w:bookmarkEnd w:id="1"/>
      <w:r>
        <w:rPr>
          <w:rFonts w:ascii="Times New Roman" w:hAnsi="Times New Roman"/>
          <w:sz w:val="24"/>
        </w:rPr>
        <w:t xml:space="preserve"> напоминает, что с 2019 г. введено поэтапное повышение возраста выхода на страховую пенсию по старости. При этом не предусмотрено повышение пенсионного возраста для граждан, занятых на работах с вредными, тяжелыми  и опасными условиями труда, то есть тем, кому досрочная пенсия устанавливается в соответствии с пунктами 1-18 статьи 30 и пунктом 1 статьи 31 Федерального закона от № 400-ФЗ «О страховых пенсиях». Условия назначения досрочной страховой пенсии по старости не изменились</w:t>
      </w:r>
      <w:r>
        <w:rPr>
          <w:rFonts w:ascii="Times New Roman" w:hAnsi="Times New Roman"/>
          <w:b w:val="1"/>
          <w:sz w:val="24"/>
        </w:rPr>
        <w:t xml:space="preserve"> у граждан</w:t>
      </w:r>
      <w:r>
        <w:rPr>
          <w:rFonts w:ascii="Times New Roman" w:hAnsi="Times New Roman"/>
          <w:sz w:val="24"/>
        </w:rPr>
        <w:t>:</w:t>
      </w:r>
    </w:p>
    <w:p w14:paraId="03000000">
      <w:pPr>
        <w:spacing w:afterAutospacing="on" w:beforeAutospacing="on" w:line="240" w:lineRule="auto"/>
        <w:ind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занятых на работах по </w:t>
      </w:r>
      <w:r>
        <w:rPr>
          <w:rFonts w:ascii="Times New Roman" w:hAnsi="Times New Roman"/>
          <w:b w:val="1"/>
          <w:sz w:val="24"/>
        </w:rPr>
        <w:t>Списку № 1</w:t>
      </w:r>
      <w:r>
        <w:rPr>
          <w:rFonts w:ascii="Times New Roman" w:hAnsi="Times New Roman"/>
          <w:sz w:val="24"/>
        </w:rPr>
        <w:t xml:space="preserve"> – на подземных работах (машинисты подземных установок, горные мастера, начальники и их заместители подземных участков и др.); на работах с опасными и вредными условиями труда (рабочие, постоянно занятые в производстве бериллия на атомных станциях, врачи-рентгенологи учреждений здравоохранения, занятые в </w:t>
      </w:r>
      <w:r>
        <w:rPr>
          <w:rFonts w:ascii="Times New Roman" w:hAnsi="Times New Roman"/>
          <w:sz w:val="24"/>
        </w:rPr>
        <w:t>рентгенооперационных</w:t>
      </w:r>
      <w:r>
        <w:rPr>
          <w:rFonts w:ascii="Times New Roman" w:hAnsi="Times New Roman"/>
          <w:sz w:val="24"/>
        </w:rPr>
        <w:t xml:space="preserve"> кабинетах, выдувальщики стеклоизделий и др.); </w:t>
      </w:r>
      <w:r>
        <w:rPr>
          <w:rFonts w:ascii="Times New Roman" w:hAnsi="Times New Roman"/>
          <w:sz w:val="24"/>
        </w:rPr>
        <w:t>в горячих цехах (сталевары мартеновских печей, разливщики стали, кузнецы на молотах и прессах, литейщики и др.), досрочная пенсия назначается мужчинам в возрасте 50 лет, женщинам – 45 лет, имеющим соответственно страховой стаж 20 лет и 15 лет, стаж на соответствующих видах работ (стаж на СВР) – 10 лет и 7 лет 6 месяцев;</w:t>
      </w:r>
    </w:p>
    <w:p w14:paraId="04000000">
      <w:pPr>
        <w:spacing w:afterAutospacing="on" w:beforeAutospacing="on" w:line="240" w:lineRule="auto"/>
        <w:ind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занятых на работах </w:t>
      </w:r>
      <w:r>
        <w:rPr>
          <w:rFonts w:ascii="Times New Roman" w:hAnsi="Times New Roman"/>
          <w:b w:val="1"/>
          <w:sz w:val="24"/>
        </w:rPr>
        <w:t>по Списку № 2 –</w:t>
      </w:r>
      <w:r>
        <w:rPr>
          <w:rFonts w:ascii="Times New Roman" w:hAnsi="Times New Roman"/>
          <w:sz w:val="24"/>
        </w:rPr>
        <w:t xml:space="preserve"> с тяжелыми условиями труда (аккумуляторщики, электросварщики ручной сварки, средний и младший персонал постоянно обслуживающий больных в туберкулезных и инфекционных учреждениях, психиатрических ЛПУ, монтажники по монтажу стальных и железобетонных конструкций, прорабы на строительстве зданий и сооружений и др.), досрочная пенсия назначается мужчинам в возрасте 55 лет, женщинам –50 лет, имеющим соответственно страховой стаж 25 лет</w:t>
      </w:r>
      <w:r>
        <w:rPr>
          <w:rFonts w:ascii="Times New Roman" w:hAnsi="Times New Roman"/>
          <w:sz w:val="24"/>
        </w:rPr>
        <w:t xml:space="preserve"> и 20 лет, стаж на СВР – 12 лет 6 месяцев и 10 лет;</w:t>
      </w:r>
    </w:p>
    <w:p w14:paraId="05000000">
      <w:pPr>
        <w:spacing w:afterAutospacing="on" w:beforeAutospacing="on" w:line="240" w:lineRule="auto"/>
        <w:ind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работающих в качестве рабочих локомотивных бригад и работников на железнодорожном транспорте и метрополитене (машинисты и помощники машинистов тепловозов, осмотрщики вагонов, составители поездов &lt;…&gt;); досрочная пенсия назначается мужчинам в возрасте 55 лет, женщинам – 50 лет, имеющим соответственно страховой стаж – 25 лет и 20 лет, стаж на СВР – 12 лет 6 месяцев и 10 лет;</w:t>
      </w:r>
    </w:p>
    <w:p w14:paraId="06000000">
      <w:pPr>
        <w:spacing w:afterAutospacing="on" w:beforeAutospacing="on" w:line="240" w:lineRule="auto"/>
        <w:ind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работающих в экспедициях, партиях, отрядах &lt;…&gt; на полевых </w:t>
      </w:r>
      <w:r>
        <w:rPr>
          <w:rFonts w:ascii="Times New Roman" w:hAnsi="Times New Roman"/>
          <w:sz w:val="24"/>
        </w:rPr>
        <w:t>геолого-разведочных</w:t>
      </w:r>
      <w:r>
        <w:rPr>
          <w:rFonts w:ascii="Times New Roman" w:hAnsi="Times New Roman"/>
          <w:sz w:val="24"/>
        </w:rPr>
        <w:t>, поисковых &lt;…&gt; и других работах (например, геологи, буровые рабочие, проходчики), досрочная пенсия назначается мужчинам в возрасте 55 лет, женщинам – 50 лет, имеющим соответственно страховой стаж – 25 лет и 20 лет, стаж на СВР – 12 лет 6 месяцев и 10 лет;</w:t>
      </w:r>
    </w:p>
    <w:p w14:paraId="07000000">
      <w:pPr>
        <w:spacing w:afterAutospacing="on" w:beforeAutospacing="on" w:line="240" w:lineRule="auto"/>
        <w:ind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в качестве рабочих и мастеров, непосредственно занятых на лесозаготовках и лесосплаве (лесорубы, вальщики леса, обрубщики сучьев, </w:t>
      </w:r>
      <w:r>
        <w:rPr>
          <w:rFonts w:ascii="Times New Roman" w:hAnsi="Times New Roman"/>
          <w:sz w:val="24"/>
        </w:rPr>
        <w:t>вздымщики</w:t>
      </w:r>
      <w:r>
        <w:rPr>
          <w:rFonts w:ascii="Times New Roman" w:hAnsi="Times New Roman"/>
          <w:sz w:val="24"/>
        </w:rPr>
        <w:t>), досрочная пенсия назначается мужчинам в возрасте 55 лет, женщинам – 50 лет, имеющим соответственно страховой стаж – 25 лет и 20 лет, стаж на СВР – 12 лет 6 месяцев и 10 лет;</w:t>
      </w:r>
    </w:p>
    <w:p w14:paraId="08000000">
      <w:pPr>
        <w:spacing w:afterAutospacing="on" w:beforeAutospacing="on" w:line="240" w:lineRule="auto"/>
        <w:ind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занятых в качестве механизаторов (докеров-механизаторов) комплексных бригад на погрузочно-разгрузочных работах в портах, досрочная пенсия назначается мужчинам в </w:t>
      </w:r>
      <w:r>
        <w:rPr>
          <w:rFonts w:ascii="Times New Roman" w:hAnsi="Times New Roman"/>
          <w:sz w:val="24"/>
        </w:rPr>
        <w:t>возрасте 55 лет, женщинам – 50 лет, имеющим соответственно страховой стаж – 25 лет и 20 лет, стаж на СВР – 20 лет и 15 лет;</w:t>
      </w:r>
    </w:p>
    <w:p w14:paraId="09000000">
      <w:pPr>
        <w:spacing w:afterAutospacing="on" w:beforeAutospacing="on" w:line="240" w:lineRule="auto"/>
        <w:ind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занятых в плавсоставе на судах морского, речного флота и флота рыбной промышленности &lt;…&gt;, досрочная пенсия назначается </w:t>
      </w:r>
      <w:r>
        <w:rPr>
          <w:rFonts w:ascii="Times New Roman" w:hAnsi="Times New Roman"/>
          <w:sz w:val="24"/>
        </w:rPr>
        <w:t>мужчинам</w:t>
      </w:r>
      <w:r>
        <w:rPr>
          <w:rFonts w:ascii="Times New Roman" w:hAnsi="Times New Roman"/>
          <w:sz w:val="24"/>
        </w:rPr>
        <w:t>n</w:t>
      </w:r>
      <w:r>
        <w:rPr>
          <w:rFonts w:ascii="Times New Roman" w:hAnsi="Times New Roman"/>
          <w:sz w:val="24"/>
        </w:rPr>
        <w:t xml:space="preserve"> в возрасте 55 лет, женщинам – 50 лет, имеющим соответственно страховой стаж – 25 лет и 20 лет, стаж на СВР – 12 лет 6 месяцев и 10 лет;</w:t>
      </w:r>
    </w:p>
    <w:p w14:paraId="0A000000">
      <w:pPr>
        <w:spacing w:afterAutospacing="on" w:beforeAutospacing="on" w:line="240" w:lineRule="auto"/>
        <w:ind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занятых в качестве водителей автобусов, троллейбусов, трамваев на регулярных городских пассажирских маршрутах, досрочная пенсия назначается мужчинам в возрасте 55 лет, женщинам – 50 лет, имеющим соответственно страховой стаж – 25 лет и 20 лет, стаж на СВР – 20 лет и 15 лет;</w:t>
      </w:r>
    </w:p>
    <w:p w14:paraId="0B000000">
      <w:pPr>
        <w:spacing w:afterAutospacing="on" w:beforeAutospacing="on" w:line="240" w:lineRule="auto"/>
        <w:ind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занятых на подземных и открытых горных работах (включая личный состав горноспасательных частей) по добыче угля, сланца, руды и других полезных ископаемых и на строительстве шахт и рудников (бурильщики, подземные горнорабочие, подземные стволовые &lt;…&gt;), досрочная пенсия назначается независимо от возраста за 25 лет стажа на СВР и за 20 лет работы в ведущих профессиях (например, проходчиком);</w:t>
      </w:r>
    </w:p>
    <w:p w14:paraId="0C000000">
      <w:pPr>
        <w:spacing w:afterAutospacing="on" w:beforeAutospacing="on" w:line="240" w:lineRule="auto"/>
        <w:ind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занятых в качестве спасателей в профессиональных аварийно-спасательных службах и формированиях системы МЧС, досрочная пенсия назначается в возрасте 40 лет и стаже на СВР – 15 лет;</w:t>
      </w:r>
    </w:p>
    <w:p w14:paraId="0D000000">
      <w:pPr>
        <w:spacing w:afterAutospacing="on" w:beforeAutospacing="on" w:line="240" w:lineRule="auto"/>
        <w:ind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занятых на работах с осужденными в качестве рабочих и служащих учреждений, исполняющих уголовные наказания в виде лишения свободы (например, заведующие производством, врачи, преподаватели, учителя, постоянно и непосредственно занятые на работах с осужденными); </w:t>
      </w:r>
      <w:r>
        <w:rPr>
          <w:rFonts w:ascii="Times New Roman" w:hAnsi="Times New Roman"/>
          <w:sz w:val="24"/>
        </w:rPr>
        <w:t>досрочная пенсия назначается мужчинам в возрасте 55 лет, женщинам – в возрасте 50 лет, имеющим соответственно страховой стаж – 25 лет и 20 лет, стаж на СВР – 15 лет и 10 лет;</w:t>
      </w:r>
    </w:p>
    <w:p w14:paraId="0E000000">
      <w:pPr>
        <w:spacing w:afterAutospacing="on" w:beforeAutospacing="on" w:line="240" w:lineRule="auto"/>
        <w:ind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занятых на должностях Государственной противопожарной службы (пожарный, оперативный дежурный, водитель пожарной машины &lt;…&gt;), досрочная пенсия назначается в возрасте 50 лет и стаже на СВР – 25 лет;</w:t>
      </w:r>
    </w:p>
    <w:p w14:paraId="0F000000">
      <w:pPr>
        <w:spacing w:afterAutospacing="on" w:beforeAutospacing="on" w:line="240" w:lineRule="auto"/>
        <w:ind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работающих в летном составе гражданской авиации, досрочная пенсия назначается мужчинам за 25 лет летной работы, женщинам – за 20 лет, на работах по непосредственному управлению полетами воздушных судов гражданской авиации – досрочная пенсия назначается мужчинам в возрасте 55, женщинам в 50 лет, имеющим соответственно 25 и 20 лет страхового стажа, 12 лет 6 месяцев и 10 лет стажа на СВР, а также</w:t>
      </w:r>
      <w:r>
        <w:rPr>
          <w:rFonts w:ascii="Times New Roman" w:hAnsi="Times New Roman"/>
          <w:sz w:val="24"/>
        </w:rPr>
        <w:t xml:space="preserve"> в инженерно-техническом составе на работах по непосредственному обслуживанию воздушных судов гражданской авиации – досрочная пенсия назначается мужчинам в возрасте 55 лет, женщинам – в 50 лет, имеющим соответственно 25 и 20 лет страхового стажа в гражданской авиации, 20 лет и 15 лет стажа на СВР;</w:t>
      </w:r>
    </w:p>
    <w:p w14:paraId="10000000">
      <w:pPr>
        <w:spacing w:afterAutospacing="on" w:beforeAutospacing="on" w:line="240" w:lineRule="auto"/>
        <w:ind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работающих в летно-испытательном составе, непосредственно занятых в летных испытаниях (исследованиях) опытной и серийной авиационной, аэрокосмической, воздухоплавательной и парашютно-десантной техники, досрочная пенсия назначается мужчинам за 25, женщинам за 20 лет такой работы, независимо от возраста;</w:t>
      </w:r>
    </w:p>
    <w:p w14:paraId="11000000">
      <w:pPr>
        <w:spacing w:afterAutospacing="on" w:beforeAutospacing="on" w:line="240" w:lineRule="auto"/>
        <w:ind/>
        <w:rPr>
          <w:rFonts w:ascii="Times New Roman" w:hAnsi="Times New Roman"/>
          <w:sz w:val="24"/>
        </w:rPr>
      </w:pPr>
      <w:r>
        <w:rPr>
          <w:rFonts w:ascii="Times New Roman" w:hAnsi="Times New Roman"/>
          <w:b w:val="1"/>
          <w:sz w:val="24"/>
        </w:rPr>
        <w:t>а также у женщин:</w:t>
      </w:r>
    </w:p>
    <w:p w14:paraId="12000000">
      <w:pPr>
        <w:spacing w:afterAutospacing="on" w:beforeAutospacing="on" w:line="240" w:lineRule="auto"/>
        <w:ind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работающих в качестве трактористов-машинистов в сельском хозяйстве, других отраслях экономики, а также в качестве машинистов строительных, дорожных и погрузочно-разгрузочных машин (например, машинисты подъемных кранов), досрочная пенсия назначается в возрасте 50 лет при стаже на СВР – 20 лет;</w:t>
      </w:r>
    </w:p>
    <w:p w14:paraId="13000000">
      <w:pPr>
        <w:spacing w:afterAutospacing="on" w:beforeAutospacing="on" w:line="240" w:lineRule="auto"/>
        <w:ind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работающих в текстильной промышленности на работах с повышенной интенсивностью и тяжестью (прядильщицы, операторы мотального, чесального оборудования и др.), досрочная пенсия назначается в возрасте 50 лет, при страховом стаже – 20 лет и стаже на СВР – 15 лет.</w:t>
      </w:r>
    </w:p>
    <w:p w14:paraId="14000000">
      <w:pPr>
        <w:spacing w:afterAutospacing="on" w:beforeAutospacing="on" w:line="240" w:lineRule="auto"/>
        <w:ind/>
        <w:outlineLvl w:val="0"/>
      </w:pPr>
    </w:p>
    <w:sectPr>
      <w:pgSz w:h="16838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8"/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2" w:type="paragraph">
    <w:name w:val="Normal"/>
    <w:link w:val="Style_2_ch"/>
    <w:uiPriority w:val="0"/>
    <w:qFormat/>
  </w:style>
  <w:style w:default="1" w:styleId="Style_2_ch" w:type="character">
    <w:name w:val="Normal"/>
    <w:link w:val="Style_2"/>
  </w:style>
  <w:style w:styleId="Style_3" w:type="paragraph">
    <w:name w:val="toc 2"/>
    <w:next w:val="Style_2"/>
    <w:link w:val="Style_3_ch"/>
    <w:uiPriority w:val="39"/>
    <w:pPr>
      <w:ind w:firstLine="0" w:left="200"/>
    </w:pPr>
  </w:style>
  <w:style w:styleId="Style_3_ch" w:type="character">
    <w:name w:val="toc 2"/>
    <w:link w:val="Style_3"/>
  </w:style>
  <w:style w:styleId="Style_4" w:type="paragraph">
    <w:name w:val="toc 4"/>
    <w:next w:val="Style_2"/>
    <w:link w:val="Style_4_ch"/>
    <w:uiPriority w:val="39"/>
    <w:pPr>
      <w:ind w:firstLine="0" w:left="600"/>
    </w:pPr>
  </w:style>
  <w:style w:styleId="Style_4_ch" w:type="character">
    <w:name w:val="toc 4"/>
    <w:link w:val="Style_4"/>
  </w:style>
  <w:style w:styleId="Style_5" w:type="paragraph">
    <w:name w:val="toc 6"/>
    <w:next w:val="Style_2"/>
    <w:link w:val="Style_5_ch"/>
    <w:uiPriority w:val="39"/>
    <w:pPr>
      <w:ind w:firstLine="0" w:left="1000"/>
    </w:pPr>
  </w:style>
  <w:style w:styleId="Style_5_ch" w:type="character">
    <w:name w:val="toc 6"/>
    <w:link w:val="Style_5"/>
  </w:style>
  <w:style w:styleId="Style_6" w:type="paragraph">
    <w:name w:val="toc 7"/>
    <w:next w:val="Style_2"/>
    <w:link w:val="Style_6_ch"/>
    <w:uiPriority w:val="39"/>
    <w:pPr>
      <w:ind w:firstLine="0" w:left="1200"/>
    </w:pPr>
  </w:style>
  <w:style w:styleId="Style_6_ch" w:type="character">
    <w:name w:val="toc 7"/>
    <w:link w:val="Style_6"/>
  </w:style>
  <w:style w:styleId="Style_7" w:type="paragraph">
    <w:name w:val="heading 3"/>
    <w:basedOn w:val="Style_2"/>
    <w:link w:val="Style_7_ch"/>
    <w:uiPriority w:val="9"/>
    <w:qFormat/>
    <w:pPr>
      <w:spacing w:afterAutospacing="on" w:beforeAutospacing="on" w:line="240" w:lineRule="auto"/>
      <w:ind/>
      <w:outlineLvl w:val="2"/>
    </w:pPr>
    <w:rPr>
      <w:rFonts w:ascii="Times New Roman" w:hAnsi="Times New Roman"/>
      <w:b w:val="1"/>
      <w:sz w:val="27"/>
    </w:rPr>
  </w:style>
  <w:style w:styleId="Style_7_ch" w:type="character">
    <w:name w:val="heading 3"/>
    <w:basedOn w:val="Style_2_ch"/>
    <w:link w:val="Style_7"/>
    <w:rPr>
      <w:rFonts w:ascii="Times New Roman" w:hAnsi="Times New Roman"/>
      <w:b w:val="1"/>
      <w:sz w:val="27"/>
    </w:rPr>
  </w:style>
  <w:style w:styleId="Style_8" w:type="paragraph">
    <w:name w:val="toc 3"/>
    <w:next w:val="Style_2"/>
    <w:link w:val="Style_8_ch"/>
    <w:uiPriority w:val="39"/>
    <w:pPr>
      <w:ind w:firstLine="0" w:left="400"/>
    </w:pPr>
  </w:style>
  <w:style w:styleId="Style_8_ch" w:type="character">
    <w:name w:val="toc 3"/>
    <w:link w:val="Style_8"/>
  </w:style>
  <w:style w:styleId="Style_9" w:type="paragraph">
    <w:name w:val="heading 5"/>
    <w:next w:val="Style_2"/>
    <w:link w:val="Style_9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9_ch" w:type="character">
    <w:name w:val="heading 5"/>
    <w:link w:val="Style_9"/>
    <w:rPr>
      <w:rFonts w:ascii="XO Thames" w:hAnsi="XO Thames"/>
      <w:b w:val="1"/>
      <w:color w:val="000000"/>
      <w:sz w:val="22"/>
    </w:rPr>
  </w:style>
  <w:style w:styleId="Style_10" w:type="paragraph">
    <w:name w:val="Normal (Web)"/>
    <w:basedOn w:val="Style_2"/>
    <w:link w:val="Style_10_ch"/>
    <w:pPr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10_ch" w:type="character">
    <w:name w:val="Normal (Web)"/>
    <w:basedOn w:val="Style_2_ch"/>
    <w:link w:val="Style_10"/>
    <w:rPr>
      <w:rFonts w:ascii="Times New Roman" w:hAnsi="Times New Roman"/>
      <w:sz w:val="24"/>
    </w:rPr>
  </w:style>
  <w:style w:styleId="Style_1" w:type="paragraph">
    <w:name w:val="heading 1"/>
    <w:basedOn w:val="Style_2"/>
    <w:link w:val="Style_1_ch"/>
    <w:uiPriority w:val="9"/>
    <w:qFormat/>
    <w:pPr>
      <w:spacing w:afterAutospacing="on" w:beforeAutospacing="on" w:line="240" w:lineRule="auto"/>
      <w:ind/>
      <w:outlineLvl w:val="0"/>
    </w:pPr>
    <w:rPr>
      <w:rFonts w:ascii="Times New Roman" w:hAnsi="Times New Roman"/>
      <w:b w:val="1"/>
      <w:sz w:val="48"/>
    </w:rPr>
  </w:style>
  <w:style w:styleId="Style_1_ch" w:type="character">
    <w:name w:val="heading 1"/>
    <w:basedOn w:val="Style_2_ch"/>
    <w:link w:val="Style_1"/>
    <w:rPr>
      <w:rFonts w:ascii="Times New Roman" w:hAnsi="Times New Roman"/>
      <w:b w:val="1"/>
      <w:sz w:val="48"/>
    </w:rPr>
  </w:style>
  <w:style w:styleId="Style_11" w:type="paragraph">
    <w:name w:val="Default Paragraph Font"/>
    <w:link w:val="Style_11_ch"/>
  </w:style>
  <w:style w:styleId="Style_11_ch" w:type="character">
    <w:name w:val="Default Paragraph Font"/>
    <w:link w:val="Style_11"/>
  </w:style>
  <w:style w:styleId="Style_12" w:type="paragraph">
    <w:name w:val="Hyperlink"/>
    <w:basedOn w:val="Style_11"/>
    <w:link w:val="Style_12_ch"/>
    <w:rPr>
      <w:color w:val="0000FF"/>
      <w:u w:val="single"/>
    </w:rPr>
  </w:style>
  <w:style w:styleId="Style_12_ch" w:type="character">
    <w:name w:val="Hyperlink"/>
    <w:basedOn w:val="Style_11_ch"/>
    <w:link w:val="Style_12"/>
    <w:rPr>
      <w:color w:val="0000FF"/>
      <w:u w:val="single"/>
    </w:rPr>
  </w:style>
  <w:style w:styleId="Style_13" w:type="paragraph">
    <w:name w:val="Footnote"/>
    <w:link w:val="Style_13_ch"/>
    <w:pPr>
      <w:ind/>
      <w:jc w:val="left"/>
    </w:pPr>
    <w:rPr>
      <w:rFonts w:ascii="XO Thames" w:hAnsi="XO Thames"/>
      <w:sz w:val="22"/>
    </w:rPr>
  </w:style>
  <w:style w:styleId="Style_13_ch" w:type="character">
    <w:name w:val="Footnote"/>
    <w:link w:val="Style_13"/>
    <w:rPr>
      <w:rFonts w:ascii="XO Thames" w:hAnsi="XO Thames"/>
      <w:sz w:val="22"/>
    </w:rPr>
  </w:style>
  <w:style w:styleId="Style_14" w:type="paragraph">
    <w:name w:val="toc 1"/>
    <w:next w:val="Style_2"/>
    <w:link w:val="Style_14_ch"/>
    <w:uiPriority w:val="39"/>
    <w:pPr>
      <w:ind w:firstLine="0" w:left="0"/>
    </w:pPr>
    <w:rPr>
      <w:rFonts w:ascii="XO Thames" w:hAnsi="XO Thames"/>
      <w:b w:val="1"/>
    </w:rPr>
  </w:style>
  <w:style w:styleId="Style_14_ch" w:type="character">
    <w:name w:val="toc 1"/>
    <w:link w:val="Style_14"/>
    <w:rPr>
      <w:rFonts w:ascii="XO Thames" w:hAnsi="XO Thames"/>
      <w:b w:val="1"/>
    </w:rPr>
  </w:style>
  <w:style w:styleId="Style_15" w:type="paragraph">
    <w:name w:val="Header and Footer"/>
    <w:link w:val="Style_15_ch"/>
    <w:pPr>
      <w:spacing w:line="360" w:lineRule="auto"/>
      <w:ind/>
    </w:pPr>
    <w:rPr>
      <w:rFonts w:ascii="XO Thames" w:hAnsi="XO Thames"/>
      <w:sz w:val="20"/>
    </w:rPr>
  </w:style>
  <w:style w:styleId="Style_15_ch" w:type="character">
    <w:name w:val="Header and Footer"/>
    <w:link w:val="Style_15"/>
    <w:rPr>
      <w:rFonts w:ascii="XO Thames" w:hAnsi="XO Thames"/>
      <w:sz w:val="20"/>
    </w:rPr>
  </w:style>
  <w:style w:styleId="Style_16" w:type="paragraph">
    <w:name w:val="toc 9"/>
    <w:next w:val="Style_2"/>
    <w:link w:val="Style_16_ch"/>
    <w:uiPriority w:val="39"/>
    <w:pPr>
      <w:ind w:firstLine="0" w:left="1600"/>
    </w:pPr>
  </w:style>
  <w:style w:styleId="Style_16_ch" w:type="character">
    <w:name w:val="toc 9"/>
    <w:link w:val="Style_16"/>
  </w:style>
  <w:style w:styleId="Style_17" w:type="paragraph">
    <w:name w:val="toc 8"/>
    <w:next w:val="Style_2"/>
    <w:link w:val="Style_17_ch"/>
    <w:uiPriority w:val="39"/>
    <w:pPr>
      <w:ind w:firstLine="0" w:left="1400"/>
    </w:pPr>
  </w:style>
  <w:style w:styleId="Style_17_ch" w:type="character">
    <w:name w:val="toc 8"/>
    <w:link w:val="Style_17"/>
  </w:style>
  <w:style w:styleId="Style_18" w:type="paragraph">
    <w:name w:val="toc 5"/>
    <w:next w:val="Style_2"/>
    <w:link w:val="Style_18_ch"/>
    <w:uiPriority w:val="39"/>
    <w:pPr>
      <w:ind w:firstLine="0" w:left="800"/>
    </w:pPr>
  </w:style>
  <w:style w:styleId="Style_18_ch" w:type="character">
    <w:name w:val="toc 5"/>
    <w:link w:val="Style_18"/>
  </w:style>
  <w:style w:styleId="Style_19" w:type="paragraph">
    <w:name w:val="Subtitle"/>
    <w:next w:val="Style_2"/>
    <w:link w:val="Style_19_ch"/>
    <w:uiPriority w:val="11"/>
    <w:qFormat/>
    <w:rPr>
      <w:rFonts w:ascii="XO Thames" w:hAnsi="XO Thames"/>
      <w:i w:val="1"/>
      <w:color w:val="616161"/>
      <w:sz w:val="24"/>
    </w:rPr>
  </w:style>
  <w:style w:styleId="Style_19_ch" w:type="character">
    <w:name w:val="Subtitle"/>
    <w:link w:val="Style_19"/>
    <w:rPr>
      <w:rFonts w:ascii="XO Thames" w:hAnsi="XO Thames"/>
      <w:i w:val="1"/>
      <w:color w:val="616161"/>
      <w:sz w:val="24"/>
    </w:rPr>
  </w:style>
  <w:style w:styleId="Style_20" w:type="paragraph">
    <w:name w:val="toc 10"/>
    <w:next w:val="Style_2"/>
    <w:link w:val="Style_20_ch"/>
    <w:uiPriority w:val="39"/>
    <w:pPr>
      <w:ind w:firstLine="0" w:left="1800"/>
    </w:pPr>
  </w:style>
  <w:style w:styleId="Style_20_ch" w:type="character">
    <w:name w:val="toc 10"/>
    <w:link w:val="Style_20"/>
  </w:style>
  <w:style w:styleId="Style_21" w:type="paragraph">
    <w:name w:val="Title"/>
    <w:next w:val="Style_2"/>
    <w:link w:val="Style_21_ch"/>
    <w:uiPriority w:val="10"/>
    <w:qFormat/>
    <w:rPr>
      <w:rFonts w:ascii="XO Thames" w:hAnsi="XO Thames"/>
      <w:b w:val="1"/>
      <w:sz w:val="52"/>
    </w:rPr>
  </w:style>
  <w:style w:styleId="Style_21_ch" w:type="character">
    <w:name w:val="Title"/>
    <w:link w:val="Style_21"/>
    <w:rPr>
      <w:rFonts w:ascii="XO Thames" w:hAnsi="XO Thames"/>
      <w:b w:val="1"/>
      <w:sz w:val="52"/>
    </w:rPr>
  </w:style>
  <w:style w:styleId="Style_22" w:type="paragraph">
    <w:name w:val="heading 4"/>
    <w:basedOn w:val="Style_2"/>
    <w:next w:val="Style_2"/>
    <w:link w:val="Style_22_ch"/>
    <w:uiPriority w:val="9"/>
    <w:qFormat/>
    <w:pPr>
      <w:keepNext w:val="1"/>
      <w:keepLines w:val="1"/>
      <w:spacing w:after="0" w:before="200"/>
      <w:ind/>
      <w:outlineLvl w:val="3"/>
    </w:pPr>
    <w:rPr>
      <w:rFonts w:asciiTheme="majorAscii" w:hAnsiTheme="majorHAnsi"/>
      <w:b w:val="1"/>
      <w:i w:val="1"/>
      <w:color w:themeColor="accent1" w:val="000000"/>
    </w:rPr>
  </w:style>
  <w:style w:styleId="Style_22_ch" w:type="character">
    <w:name w:val="heading 4"/>
    <w:basedOn w:val="Style_2_ch"/>
    <w:link w:val="Style_22"/>
    <w:rPr>
      <w:rFonts w:asciiTheme="majorAscii" w:hAnsiTheme="majorHAnsi"/>
      <w:b w:val="1"/>
      <w:i w:val="1"/>
      <w:color w:themeColor="accent1" w:val="000000"/>
    </w:rPr>
  </w:style>
  <w:style w:styleId="Style_23" w:type="paragraph">
    <w:name w:val="heading 2"/>
    <w:next w:val="Style_2"/>
    <w:link w:val="Style_23_ch"/>
    <w:uiPriority w:val="9"/>
    <w:qFormat/>
    <w:pPr>
      <w:spacing w:after="120" w:before="120"/>
      <w:ind/>
      <w:outlineLvl w:val="1"/>
    </w:pPr>
    <w:rPr>
      <w:rFonts w:ascii="XO Thames" w:hAnsi="XO Thames"/>
      <w:b w:val="1"/>
      <w:color w:val="00A0FF"/>
      <w:sz w:val="26"/>
    </w:rPr>
  </w:style>
  <w:style w:styleId="Style_23_ch" w:type="character">
    <w:name w:val="heading 2"/>
    <w:link w:val="Style_23"/>
    <w:rPr>
      <w:rFonts w:ascii="XO Thames" w:hAnsi="XO Thames"/>
      <w:b w:val="1"/>
      <w:color w:val="00A0FF"/>
      <w:sz w:val="26"/>
    </w:rPr>
  </w:style>
  <w:style w:default="1" w:styleId="Style_24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 w="9525">
          <a:solidFill>
            <a:schemeClr val="phClr">
              <a:shade val="95%"/>
              <a:satMod val="105%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