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BAA" w:rsidRDefault="00514BAA">
      <w:pPr>
        <w:pStyle w:val="NoSpacing"/>
        <w:ind w:left="-1260" w:firstLine="1260"/>
        <w:rPr>
          <w:rFonts w:ascii="Times New Roman" w:hAnsi="Times New Roman" w:cs="Times New Roman"/>
          <w:b/>
          <w:bCs/>
        </w:rPr>
      </w:pPr>
      <w:bookmarkStart w:id="0" w:name="bookmark0"/>
    </w:p>
    <w:p w:rsidR="00514BAA" w:rsidRDefault="00514BAA">
      <w:pPr>
        <w:pStyle w:val="NoSpacing"/>
        <w:jc w:val="center"/>
        <w:rPr>
          <w:rFonts w:ascii="Times New Roman" w:hAnsi="Times New Roman" w:cs="Times New Roman"/>
          <w:b/>
          <w:bCs/>
          <w:sz w:val="28"/>
          <w:szCs w:val="28"/>
        </w:rPr>
      </w:pPr>
      <w:r>
        <w:rPr>
          <w:rFonts w:ascii="Times New Roman" w:hAnsi="Times New Roman" w:cs="Times New Roman"/>
          <w:b/>
          <w:bCs/>
          <w:sz w:val="28"/>
          <w:szCs w:val="28"/>
        </w:rPr>
        <w:t>СОВЕТ ДЕПУТАТОВ</w:t>
      </w:r>
    </w:p>
    <w:p w:rsidR="00514BAA" w:rsidRDefault="00514BAA">
      <w:pPr>
        <w:pStyle w:val="NoSpacing"/>
        <w:jc w:val="center"/>
        <w:rPr>
          <w:rFonts w:ascii="Times New Roman" w:hAnsi="Times New Roman" w:cs="Times New Roman"/>
          <w:b/>
          <w:bCs/>
          <w:sz w:val="28"/>
          <w:szCs w:val="28"/>
        </w:rPr>
      </w:pPr>
      <w:r>
        <w:rPr>
          <w:rFonts w:ascii="Times New Roman" w:hAnsi="Times New Roman" w:cs="Times New Roman"/>
          <w:b/>
          <w:bCs/>
          <w:sz w:val="28"/>
          <w:szCs w:val="28"/>
        </w:rPr>
        <w:t>КУРТАШКИНСКОГО СЕЛЬСКОГО ПОСЕЛЕНИЯ</w:t>
      </w:r>
    </w:p>
    <w:p w:rsidR="00514BAA" w:rsidRDefault="00514BAA">
      <w:pPr>
        <w:pStyle w:val="NoSpacing"/>
        <w:jc w:val="center"/>
        <w:rPr>
          <w:rFonts w:ascii="Times New Roman" w:hAnsi="Times New Roman" w:cs="Times New Roman"/>
          <w:b/>
          <w:bCs/>
          <w:sz w:val="28"/>
          <w:szCs w:val="28"/>
        </w:rPr>
      </w:pPr>
      <w:r>
        <w:rPr>
          <w:rFonts w:ascii="Times New Roman" w:hAnsi="Times New Roman" w:cs="Times New Roman"/>
          <w:b/>
          <w:bCs/>
          <w:sz w:val="28"/>
          <w:szCs w:val="28"/>
        </w:rPr>
        <w:t xml:space="preserve"> АТЮРЬЕВСКОГО МУНИЦИПАЛЬНОГО РАЙОНА</w:t>
      </w:r>
    </w:p>
    <w:p w:rsidR="00514BAA" w:rsidRDefault="00514BAA">
      <w:pPr>
        <w:pStyle w:val="NoSpacing"/>
        <w:jc w:val="center"/>
        <w:rPr>
          <w:rFonts w:ascii="Times New Roman" w:hAnsi="Times New Roman" w:cs="Times New Roman"/>
          <w:b/>
          <w:bCs/>
          <w:sz w:val="28"/>
          <w:szCs w:val="28"/>
        </w:rPr>
      </w:pPr>
      <w:r>
        <w:rPr>
          <w:rFonts w:ascii="Times New Roman" w:hAnsi="Times New Roman" w:cs="Times New Roman"/>
          <w:b/>
          <w:bCs/>
          <w:sz w:val="28"/>
          <w:szCs w:val="28"/>
        </w:rPr>
        <w:t>РЕСПУБЛИКИ МОРДОВИЯ</w:t>
      </w:r>
    </w:p>
    <w:p w:rsidR="00514BAA" w:rsidRDefault="00514BAA">
      <w:pPr>
        <w:pStyle w:val="NoSpacing"/>
        <w:jc w:val="center"/>
        <w:rPr>
          <w:rFonts w:ascii="Times New Roman" w:hAnsi="Times New Roman" w:cs="Times New Roman"/>
          <w:sz w:val="28"/>
          <w:szCs w:val="28"/>
        </w:rPr>
      </w:pPr>
      <w:r>
        <w:rPr>
          <w:rFonts w:ascii="Times New Roman" w:hAnsi="Times New Roman" w:cs="Times New Roman"/>
          <w:sz w:val="28"/>
          <w:szCs w:val="28"/>
        </w:rPr>
        <w:t xml:space="preserve">                                                                                    </w:t>
      </w:r>
    </w:p>
    <w:p w:rsidR="00514BAA" w:rsidRDefault="00514BAA">
      <w:pPr>
        <w:pStyle w:val="NoSpacing"/>
        <w:jc w:val="center"/>
        <w:rPr>
          <w:rFonts w:ascii="Times New Roman" w:hAnsi="Times New Roman" w:cs="Times New Roman"/>
          <w:b/>
          <w:bCs/>
          <w:sz w:val="28"/>
          <w:szCs w:val="28"/>
        </w:rPr>
      </w:pPr>
      <w:r>
        <w:rPr>
          <w:rFonts w:ascii="Times New Roman" w:hAnsi="Times New Roman" w:cs="Times New Roman"/>
          <w:b/>
          <w:bCs/>
          <w:sz w:val="28"/>
          <w:szCs w:val="28"/>
        </w:rPr>
        <w:t>РЕШЕНИЕ</w:t>
      </w:r>
    </w:p>
    <w:p w:rsidR="00514BAA" w:rsidRDefault="00514BAA">
      <w:pPr>
        <w:pStyle w:val="NoSpacing"/>
        <w:jc w:val="center"/>
        <w:rPr>
          <w:rFonts w:ascii="Times New Roman" w:hAnsi="Times New Roman" w:cs="Times New Roman"/>
          <w:b/>
          <w:bCs/>
          <w:sz w:val="28"/>
          <w:szCs w:val="28"/>
        </w:rPr>
      </w:pPr>
    </w:p>
    <w:p w:rsidR="00514BAA" w:rsidRDefault="00514BAA">
      <w:pPr>
        <w:pStyle w:val="NoSpacing"/>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p w:rsidR="00514BAA" w:rsidRDefault="00514BAA">
      <w:pPr>
        <w:pStyle w:val="NoSpacing"/>
        <w:rPr>
          <w:rFonts w:ascii="Times New Roman" w:hAnsi="Times New Roman" w:cs="Times New Roman"/>
          <w:sz w:val="28"/>
          <w:szCs w:val="28"/>
        </w:rPr>
      </w:pPr>
      <w:r>
        <w:rPr>
          <w:rFonts w:ascii="Times New Roman" w:hAnsi="Times New Roman" w:cs="Times New Roman"/>
          <w:b/>
          <w:bCs/>
          <w:sz w:val="28"/>
          <w:szCs w:val="28"/>
        </w:rPr>
        <w:t xml:space="preserve">             от 04.10. 2019 г.                                                      № 67</w:t>
      </w:r>
      <w:r>
        <w:rPr>
          <w:rFonts w:ascii="Times New Roman" w:hAnsi="Times New Roman" w:cs="Times New Roman"/>
          <w:sz w:val="28"/>
          <w:szCs w:val="28"/>
        </w:rPr>
        <w:t xml:space="preserve">                                                         </w:t>
      </w:r>
    </w:p>
    <w:p w:rsidR="00514BAA" w:rsidRDefault="00514BAA">
      <w:pPr>
        <w:pStyle w:val="NoSpacing"/>
        <w:jc w:val="center"/>
        <w:rPr>
          <w:rFonts w:ascii="Times New Roman" w:hAnsi="Times New Roman" w:cs="Times New Roman"/>
          <w:b/>
          <w:bCs/>
          <w:sz w:val="28"/>
          <w:szCs w:val="28"/>
        </w:rPr>
      </w:pPr>
    </w:p>
    <w:p w:rsidR="00514BAA" w:rsidRDefault="00514BAA">
      <w:pPr>
        <w:pStyle w:val="NoSpacing"/>
        <w:jc w:val="center"/>
        <w:rPr>
          <w:rFonts w:ascii="Times New Roman" w:hAnsi="Times New Roman" w:cs="Times New Roman"/>
          <w:b/>
          <w:bCs/>
          <w:sz w:val="24"/>
          <w:szCs w:val="24"/>
        </w:rPr>
      </w:pPr>
      <w:r>
        <w:rPr>
          <w:rFonts w:ascii="Times New Roman" w:hAnsi="Times New Roman" w:cs="Times New Roman"/>
          <w:sz w:val="28"/>
          <w:szCs w:val="28"/>
        </w:rPr>
        <w:br/>
      </w:r>
      <w:r>
        <w:rPr>
          <w:rFonts w:ascii="Times New Roman" w:hAnsi="Times New Roman" w:cs="Times New Roman"/>
          <w:b/>
          <w:bCs/>
          <w:sz w:val="24"/>
          <w:szCs w:val="24"/>
        </w:rPr>
        <w:t>«О  передаче части  полномочий Курташкинского сельского поселения Атюрьевского муниципального района Республики Мордовия  по осуществлению внутреннего муниципального финансового контроля»</w:t>
      </w:r>
    </w:p>
    <w:p w:rsidR="00514BAA" w:rsidRDefault="00514BAA">
      <w:pPr>
        <w:pStyle w:val="NoSpacing"/>
        <w:jc w:val="both"/>
        <w:rPr>
          <w:rFonts w:ascii="Times New Roman" w:hAnsi="Times New Roman" w:cs="Times New Roman"/>
          <w:b/>
          <w:bCs/>
          <w:sz w:val="28"/>
          <w:szCs w:val="28"/>
        </w:rPr>
      </w:pPr>
    </w:p>
    <w:p w:rsidR="00514BAA" w:rsidRDefault="00514BAA">
      <w:pPr>
        <w:pStyle w:val="NoSpacing"/>
        <w:ind w:firstLine="709"/>
        <w:jc w:val="both"/>
        <w:rPr>
          <w:rFonts w:ascii="Times New Roman" w:hAnsi="Times New Roman" w:cs="Times New Roman"/>
          <w:sz w:val="24"/>
          <w:szCs w:val="24"/>
        </w:rPr>
      </w:pPr>
      <w:r>
        <w:rPr>
          <w:rFonts w:ascii="Times New Roman" w:hAnsi="Times New Roman" w:cs="Times New Roman"/>
          <w:sz w:val="24"/>
          <w:szCs w:val="24"/>
        </w:rPr>
        <w:t>В соответствии с частью 4 статьи 15 Федерального закона от 06.10.2003 г. № 131-ФЗ «Об общих принципах и организации местного самоуправления в Российской Федерации», Совет  депутатов Курташкинского сельского поселения Атюрьевского муниципального района Республики Мордовия  решил:</w:t>
      </w:r>
    </w:p>
    <w:p w:rsidR="00514BAA" w:rsidRDefault="00514BAA">
      <w:pPr>
        <w:pStyle w:val="NoSpacing"/>
        <w:ind w:firstLine="709"/>
        <w:jc w:val="both"/>
        <w:rPr>
          <w:rFonts w:ascii="Times New Roman" w:hAnsi="Times New Roman" w:cs="Times New Roman"/>
          <w:sz w:val="24"/>
          <w:szCs w:val="24"/>
        </w:rPr>
      </w:pPr>
    </w:p>
    <w:p w:rsidR="00514BAA" w:rsidRDefault="00514BAA">
      <w:pPr>
        <w:pStyle w:val="NoSpacing"/>
        <w:ind w:firstLine="709"/>
        <w:jc w:val="both"/>
        <w:rPr>
          <w:rFonts w:ascii="Times New Roman" w:hAnsi="Times New Roman" w:cs="Times New Roman"/>
          <w:sz w:val="24"/>
          <w:szCs w:val="24"/>
        </w:rPr>
      </w:pPr>
      <w:r>
        <w:rPr>
          <w:rFonts w:ascii="Times New Roman" w:hAnsi="Times New Roman" w:cs="Times New Roman"/>
          <w:sz w:val="24"/>
          <w:szCs w:val="24"/>
        </w:rPr>
        <w:t xml:space="preserve">1. Передать часть полномочий от Курташкинского сельского  поселения  </w:t>
      </w:r>
      <w:r>
        <w:rPr>
          <w:rFonts w:ascii="Times New Roman" w:hAnsi="Times New Roman" w:cs="Times New Roman"/>
          <w:b/>
          <w:bCs/>
          <w:sz w:val="24"/>
          <w:szCs w:val="24"/>
        </w:rPr>
        <w:t xml:space="preserve"> </w:t>
      </w:r>
      <w:r>
        <w:rPr>
          <w:rFonts w:ascii="Times New Roman" w:hAnsi="Times New Roman" w:cs="Times New Roman"/>
          <w:sz w:val="24"/>
          <w:szCs w:val="24"/>
        </w:rPr>
        <w:t xml:space="preserve">Атюрьевского муниципального района Республики Мордовия по </w:t>
      </w:r>
      <w:r>
        <w:rPr>
          <w:rFonts w:ascii="Times New Roman" w:hAnsi="Times New Roman" w:cs="Times New Roman"/>
          <w:b/>
          <w:bCs/>
          <w:sz w:val="28"/>
          <w:szCs w:val="28"/>
        </w:rPr>
        <w:t xml:space="preserve"> </w:t>
      </w:r>
      <w:r>
        <w:rPr>
          <w:rFonts w:ascii="Times New Roman" w:hAnsi="Times New Roman" w:cs="Times New Roman"/>
          <w:sz w:val="24"/>
          <w:szCs w:val="24"/>
        </w:rPr>
        <w:t xml:space="preserve">осуществлению внутреннего муниципального финансового контроля Атюрьевскому муниципальному району Республики Мордовия. </w:t>
      </w:r>
      <w:r>
        <w:rPr>
          <w:rFonts w:ascii="Times New Roman" w:hAnsi="Times New Roman" w:cs="Times New Roman"/>
          <w:b/>
          <w:bCs/>
          <w:sz w:val="24"/>
          <w:szCs w:val="24"/>
        </w:rPr>
        <w:t xml:space="preserve"> </w:t>
      </w:r>
    </w:p>
    <w:p w:rsidR="00514BAA" w:rsidRDefault="00514BAA">
      <w:pPr>
        <w:pStyle w:val="NoSpacing"/>
        <w:ind w:firstLine="709"/>
        <w:jc w:val="both"/>
        <w:rPr>
          <w:rFonts w:ascii="Times New Roman" w:hAnsi="Times New Roman" w:cs="Times New Roman"/>
          <w:sz w:val="24"/>
          <w:szCs w:val="24"/>
        </w:rPr>
      </w:pPr>
      <w:r>
        <w:rPr>
          <w:rFonts w:ascii="Times New Roman" w:hAnsi="Times New Roman" w:cs="Times New Roman"/>
          <w:sz w:val="24"/>
          <w:szCs w:val="24"/>
        </w:rPr>
        <w:t xml:space="preserve">2. Администрации Курташкинского сельского поселения заключить соглашение о принятии части  полномочий Курташкинского сельского поселения Атюрьевского муниципального района Республики Мордовия по </w:t>
      </w:r>
      <w:r>
        <w:rPr>
          <w:rFonts w:ascii="Times New Roman" w:hAnsi="Times New Roman" w:cs="Times New Roman"/>
          <w:b/>
          <w:bCs/>
          <w:sz w:val="28"/>
          <w:szCs w:val="28"/>
        </w:rPr>
        <w:t xml:space="preserve"> </w:t>
      </w:r>
      <w:r>
        <w:rPr>
          <w:rFonts w:ascii="Times New Roman" w:hAnsi="Times New Roman" w:cs="Times New Roman"/>
          <w:sz w:val="24"/>
          <w:szCs w:val="24"/>
        </w:rPr>
        <w:t>осуществлению внутреннего муниципального финансового контроля Атюрьевским муниципальным районом Республики Мордовия.</w:t>
      </w:r>
    </w:p>
    <w:p w:rsidR="00514BAA" w:rsidRDefault="00514BAA">
      <w:pPr>
        <w:pStyle w:val="NoSpacing"/>
        <w:ind w:firstLine="709"/>
        <w:jc w:val="both"/>
        <w:rPr>
          <w:rFonts w:ascii="Times New Roman" w:hAnsi="Times New Roman" w:cs="Times New Roman"/>
          <w:sz w:val="24"/>
          <w:szCs w:val="24"/>
        </w:rPr>
      </w:pPr>
      <w:r>
        <w:rPr>
          <w:rFonts w:ascii="Times New Roman" w:hAnsi="Times New Roman" w:cs="Times New Roman"/>
          <w:sz w:val="24"/>
          <w:szCs w:val="24"/>
        </w:rPr>
        <w:t>3. Утвердить проект соглашения о принятии части полномочий Курташкинского сельского поселения Атюрьевского муниципального района Республики Мордовия по осуществлению внутреннего муниципального финансового контроля Атюрьевским муниципальным районом Республики Мордовия. (Прилагается.)</w:t>
      </w:r>
    </w:p>
    <w:p w:rsidR="00514BAA" w:rsidRDefault="00514BAA">
      <w:pPr>
        <w:pStyle w:val="NoSpacing"/>
        <w:jc w:val="both"/>
        <w:rPr>
          <w:rFonts w:ascii="Times New Roman" w:hAnsi="Times New Roman" w:cs="Times New Roman"/>
          <w:sz w:val="24"/>
          <w:szCs w:val="24"/>
        </w:rPr>
      </w:pPr>
      <w:r>
        <w:rPr>
          <w:rFonts w:ascii="Times New Roman" w:hAnsi="Times New Roman" w:cs="Times New Roman"/>
          <w:sz w:val="24"/>
          <w:szCs w:val="24"/>
        </w:rPr>
        <w:t xml:space="preserve">           4. Настоящее решение вступает в силу после его  опубликования на официальном сайте администрации Атюрьевского муниципального района и в Информационном бюллетене Курташкинского сельского поселения и распространяется на правоотношения, возникшие с 04.10.2019 года.</w:t>
      </w:r>
    </w:p>
    <w:p w:rsidR="00514BAA" w:rsidRDefault="00514BAA">
      <w:pPr>
        <w:pStyle w:val="NoSpacing"/>
        <w:jc w:val="both"/>
        <w:rPr>
          <w:rFonts w:ascii="Times New Roman" w:hAnsi="Times New Roman" w:cs="Times New Roman"/>
          <w:sz w:val="24"/>
          <w:szCs w:val="24"/>
        </w:rPr>
      </w:pPr>
    </w:p>
    <w:p w:rsidR="00514BAA" w:rsidRDefault="00514BAA">
      <w:pPr>
        <w:pStyle w:val="NoSpacing"/>
        <w:jc w:val="both"/>
        <w:rPr>
          <w:rFonts w:ascii="Times New Roman" w:hAnsi="Times New Roman" w:cs="Times New Roman"/>
          <w:sz w:val="24"/>
          <w:szCs w:val="24"/>
        </w:rPr>
      </w:pPr>
    </w:p>
    <w:p w:rsidR="00514BAA" w:rsidRDefault="00514BAA">
      <w:pPr>
        <w:pStyle w:val="NoSpacing"/>
        <w:ind w:firstLine="709"/>
        <w:jc w:val="both"/>
        <w:rPr>
          <w:rFonts w:ascii="Times New Roman" w:hAnsi="Times New Roman" w:cs="Times New Roman"/>
          <w:sz w:val="24"/>
          <w:szCs w:val="24"/>
        </w:rPr>
      </w:pPr>
    </w:p>
    <w:tbl>
      <w:tblPr>
        <w:tblW w:w="5589" w:type="pct"/>
        <w:tblInd w:w="-106" w:type="dxa"/>
        <w:tblLook w:val="0000"/>
      </w:tblPr>
      <w:tblGrid>
        <w:gridCol w:w="7585"/>
        <w:gridCol w:w="3223"/>
      </w:tblGrid>
      <w:tr w:rsidR="00514BAA">
        <w:tc>
          <w:tcPr>
            <w:tcW w:w="3509" w:type="pct"/>
            <w:tcBorders>
              <w:top w:val="nil"/>
              <w:left w:val="nil"/>
              <w:bottom w:val="nil"/>
              <w:right w:val="nil"/>
            </w:tcBorders>
            <w:shd w:val="clear" w:color="auto" w:fill="FFFFFF"/>
            <w:tcMar>
              <w:top w:w="15" w:type="dxa"/>
              <w:left w:w="15" w:type="dxa"/>
              <w:bottom w:w="15" w:type="dxa"/>
              <w:right w:w="15" w:type="dxa"/>
            </w:tcMar>
            <w:vAlign w:val="bottom"/>
          </w:tcPr>
          <w:p w:rsidR="00514BAA" w:rsidRDefault="00514BAA">
            <w:pPr>
              <w:pStyle w:val="NoSpacing"/>
              <w:jc w:val="both"/>
              <w:rPr>
                <w:rFonts w:ascii="Times New Roman" w:hAnsi="Times New Roman" w:cs="Times New Roman"/>
                <w:b/>
                <w:bCs/>
                <w:sz w:val="24"/>
                <w:szCs w:val="24"/>
              </w:rPr>
            </w:pPr>
            <w:r>
              <w:rPr>
                <w:rFonts w:ascii="Times New Roman" w:hAnsi="Times New Roman" w:cs="Times New Roman"/>
                <w:b/>
                <w:bCs/>
                <w:sz w:val="24"/>
                <w:szCs w:val="24"/>
              </w:rPr>
              <w:t xml:space="preserve">                   Глава Курташкинского сельского поселения</w:t>
            </w:r>
          </w:p>
          <w:p w:rsidR="00514BAA" w:rsidRDefault="00514BAA">
            <w:pPr>
              <w:pStyle w:val="NoSpacing"/>
              <w:jc w:val="both"/>
              <w:rPr>
                <w:rFonts w:ascii="Times New Roman" w:hAnsi="Times New Roman" w:cs="Times New Roman"/>
                <w:b/>
                <w:bCs/>
                <w:sz w:val="24"/>
                <w:szCs w:val="24"/>
              </w:rPr>
            </w:pPr>
            <w:r>
              <w:rPr>
                <w:rFonts w:ascii="Times New Roman" w:hAnsi="Times New Roman" w:cs="Times New Roman"/>
                <w:b/>
                <w:bCs/>
                <w:sz w:val="24"/>
                <w:szCs w:val="24"/>
              </w:rPr>
              <w:t xml:space="preserve">                   Атюрьевского муниципального района</w:t>
            </w:r>
          </w:p>
          <w:p w:rsidR="00514BAA" w:rsidRDefault="00514BAA">
            <w:pPr>
              <w:pStyle w:val="NoSpacing"/>
              <w:jc w:val="both"/>
              <w:rPr>
                <w:rFonts w:ascii="Times New Roman" w:hAnsi="Times New Roman" w:cs="Times New Roman"/>
                <w:b/>
                <w:bCs/>
                <w:sz w:val="24"/>
                <w:szCs w:val="24"/>
              </w:rPr>
            </w:pPr>
            <w:r>
              <w:rPr>
                <w:rFonts w:ascii="Times New Roman" w:hAnsi="Times New Roman" w:cs="Times New Roman"/>
                <w:b/>
                <w:bCs/>
                <w:sz w:val="24"/>
                <w:szCs w:val="24"/>
              </w:rPr>
              <w:t xml:space="preserve">                   Республики Мордовия</w:t>
            </w:r>
          </w:p>
        </w:tc>
        <w:tc>
          <w:tcPr>
            <w:tcW w:w="1491" w:type="pct"/>
            <w:tcBorders>
              <w:top w:val="nil"/>
              <w:left w:val="nil"/>
              <w:bottom w:val="nil"/>
              <w:right w:val="nil"/>
            </w:tcBorders>
            <w:shd w:val="clear" w:color="auto" w:fill="FFFFFF"/>
            <w:tcMar>
              <w:top w:w="15" w:type="dxa"/>
              <w:left w:w="15" w:type="dxa"/>
              <w:bottom w:w="15" w:type="dxa"/>
              <w:right w:w="15" w:type="dxa"/>
            </w:tcMar>
            <w:vAlign w:val="bottom"/>
          </w:tcPr>
          <w:p w:rsidR="00514BAA" w:rsidRDefault="00514BAA">
            <w:pPr>
              <w:pStyle w:val="NoSpacing"/>
              <w:jc w:val="both"/>
              <w:rPr>
                <w:rFonts w:ascii="Times New Roman" w:hAnsi="Times New Roman" w:cs="Times New Roman"/>
                <w:b/>
                <w:bCs/>
                <w:sz w:val="24"/>
                <w:szCs w:val="24"/>
              </w:rPr>
            </w:pPr>
            <w:r>
              <w:rPr>
                <w:rFonts w:ascii="Times New Roman" w:hAnsi="Times New Roman" w:cs="Times New Roman"/>
                <w:b/>
                <w:bCs/>
                <w:sz w:val="24"/>
                <w:szCs w:val="24"/>
              </w:rPr>
              <w:t xml:space="preserve">    С.В.Базаркин</w:t>
            </w:r>
          </w:p>
        </w:tc>
      </w:tr>
    </w:tbl>
    <w:p w:rsidR="00514BAA" w:rsidRDefault="00514BAA">
      <w:pPr>
        <w:pStyle w:val="NoSpacing"/>
        <w:rPr>
          <w:rFonts w:ascii="Times New Roman" w:hAnsi="Times New Roman" w:cs="Times New Roman"/>
          <w:b/>
          <w:bCs/>
        </w:rPr>
      </w:pPr>
    </w:p>
    <w:p w:rsidR="00514BAA" w:rsidRDefault="00514BAA">
      <w:pPr>
        <w:pStyle w:val="NoSpacing"/>
        <w:rPr>
          <w:rFonts w:ascii="Times New Roman" w:hAnsi="Times New Roman" w:cs="Times New Roman"/>
          <w:b/>
          <w:bCs/>
        </w:rPr>
      </w:pPr>
    </w:p>
    <w:p w:rsidR="00514BAA" w:rsidRDefault="00514BAA">
      <w:pPr>
        <w:pStyle w:val="NoSpacing"/>
        <w:rPr>
          <w:rFonts w:ascii="Times New Roman" w:hAnsi="Times New Roman" w:cs="Times New Roman"/>
          <w:b/>
          <w:bCs/>
        </w:rPr>
      </w:pPr>
    </w:p>
    <w:p w:rsidR="00514BAA" w:rsidRDefault="00514BAA">
      <w:pPr>
        <w:pStyle w:val="NoSpacing"/>
        <w:rPr>
          <w:rFonts w:ascii="Times New Roman" w:hAnsi="Times New Roman" w:cs="Times New Roman"/>
          <w:b/>
          <w:bCs/>
        </w:rPr>
      </w:pPr>
    </w:p>
    <w:p w:rsidR="00514BAA" w:rsidRDefault="00514BAA">
      <w:pPr>
        <w:widowControl w:val="0"/>
        <w:autoSpaceDE w:val="0"/>
        <w:autoSpaceDN w:val="0"/>
        <w:adjustRightInd w:val="0"/>
        <w:spacing w:after="0" w:line="240" w:lineRule="auto"/>
        <w:jc w:val="right"/>
        <w:rPr>
          <w:rFonts w:ascii="Arial" w:hAnsi="Arial" w:cs="Arial"/>
          <w:b/>
          <w:bCs/>
          <w:color w:val="26282F"/>
          <w:sz w:val="24"/>
          <w:szCs w:val="24"/>
        </w:rPr>
      </w:pPr>
      <w:bookmarkStart w:id="1" w:name="sub_1000"/>
      <w:bookmarkStart w:id="2" w:name="bookmark17"/>
      <w:bookmarkEnd w:id="0"/>
    </w:p>
    <w:p w:rsidR="00514BAA" w:rsidRDefault="00514BAA">
      <w:pPr>
        <w:widowControl w:val="0"/>
        <w:autoSpaceDE w:val="0"/>
        <w:autoSpaceDN w:val="0"/>
        <w:adjustRightInd w:val="0"/>
        <w:spacing w:after="0" w:line="240" w:lineRule="auto"/>
        <w:jc w:val="right"/>
        <w:rPr>
          <w:rFonts w:ascii="Arial" w:hAnsi="Arial" w:cs="Arial"/>
          <w:b/>
          <w:bCs/>
          <w:color w:val="26282F"/>
          <w:sz w:val="24"/>
          <w:szCs w:val="24"/>
        </w:rPr>
      </w:pPr>
      <w:bookmarkStart w:id="3" w:name="_GoBack"/>
      <w:bookmarkEnd w:id="3"/>
    </w:p>
    <w:p w:rsidR="00514BAA" w:rsidRDefault="00514BAA">
      <w:pPr>
        <w:widowControl w:val="0"/>
        <w:autoSpaceDE w:val="0"/>
        <w:autoSpaceDN w:val="0"/>
        <w:adjustRightInd w:val="0"/>
        <w:spacing w:after="0" w:line="240" w:lineRule="auto"/>
        <w:jc w:val="right"/>
        <w:rPr>
          <w:rFonts w:ascii="Arial" w:hAnsi="Arial" w:cs="Arial"/>
          <w:b/>
          <w:bCs/>
          <w:color w:val="26282F"/>
          <w:sz w:val="24"/>
          <w:szCs w:val="24"/>
        </w:rPr>
      </w:pPr>
    </w:p>
    <w:p w:rsidR="00514BAA" w:rsidRDefault="00514BAA">
      <w:pPr>
        <w:widowControl w:val="0"/>
        <w:autoSpaceDE w:val="0"/>
        <w:autoSpaceDN w:val="0"/>
        <w:adjustRightInd w:val="0"/>
        <w:spacing w:after="0" w:line="240" w:lineRule="auto"/>
        <w:jc w:val="right"/>
        <w:rPr>
          <w:rFonts w:ascii="Arial" w:hAnsi="Arial" w:cs="Arial"/>
          <w:b/>
          <w:bCs/>
          <w:color w:val="26282F"/>
          <w:sz w:val="24"/>
          <w:szCs w:val="24"/>
        </w:rPr>
      </w:pPr>
      <w:r>
        <w:rPr>
          <w:rFonts w:ascii="Arial" w:hAnsi="Arial" w:cs="Arial"/>
          <w:b/>
          <w:bCs/>
          <w:color w:val="26282F"/>
          <w:sz w:val="24"/>
          <w:szCs w:val="24"/>
        </w:rPr>
        <w:t xml:space="preserve">Приложение к решению </w:t>
      </w:r>
    </w:p>
    <w:p w:rsidR="00514BAA" w:rsidRDefault="00514BAA">
      <w:pPr>
        <w:widowControl w:val="0"/>
        <w:autoSpaceDE w:val="0"/>
        <w:autoSpaceDN w:val="0"/>
        <w:adjustRightInd w:val="0"/>
        <w:spacing w:after="0" w:line="240" w:lineRule="auto"/>
        <w:jc w:val="right"/>
        <w:rPr>
          <w:rFonts w:ascii="Arial" w:hAnsi="Arial" w:cs="Arial"/>
          <w:b/>
          <w:bCs/>
          <w:color w:val="26282F"/>
          <w:sz w:val="24"/>
          <w:szCs w:val="24"/>
        </w:rPr>
      </w:pPr>
      <w:r>
        <w:rPr>
          <w:rFonts w:ascii="Arial" w:hAnsi="Arial" w:cs="Arial"/>
          <w:b/>
          <w:bCs/>
          <w:color w:val="26282F"/>
          <w:sz w:val="24"/>
          <w:szCs w:val="24"/>
        </w:rPr>
        <w:t xml:space="preserve">Совета депутатов </w:t>
      </w:r>
    </w:p>
    <w:p w:rsidR="00514BAA" w:rsidRDefault="00514BAA">
      <w:pPr>
        <w:widowControl w:val="0"/>
        <w:autoSpaceDE w:val="0"/>
        <w:autoSpaceDN w:val="0"/>
        <w:adjustRightInd w:val="0"/>
        <w:spacing w:after="0" w:line="240" w:lineRule="auto"/>
        <w:jc w:val="center"/>
        <w:rPr>
          <w:rFonts w:ascii="Arial" w:hAnsi="Arial" w:cs="Arial"/>
          <w:b/>
          <w:bCs/>
          <w:color w:val="26282F"/>
          <w:sz w:val="24"/>
          <w:szCs w:val="24"/>
        </w:rPr>
      </w:pPr>
      <w:r>
        <w:rPr>
          <w:rFonts w:ascii="Arial" w:hAnsi="Arial" w:cs="Arial"/>
          <w:b/>
          <w:bCs/>
          <w:color w:val="26282F"/>
          <w:sz w:val="24"/>
          <w:szCs w:val="24"/>
        </w:rPr>
        <w:t xml:space="preserve">                                                                            Курташкинского сельского поселения</w:t>
      </w:r>
    </w:p>
    <w:p w:rsidR="00514BAA" w:rsidRDefault="00514BAA">
      <w:pPr>
        <w:widowControl w:val="0"/>
        <w:autoSpaceDE w:val="0"/>
        <w:autoSpaceDN w:val="0"/>
        <w:adjustRightInd w:val="0"/>
        <w:spacing w:after="0" w:line="240" w:lineRule="auto"/>
        <w:jc w:val="center"/>
        <w:rPr>
          <w:rFonts w:ascii="Arial" w:hAnsi="Arial" w:cs="Arial"/>
          <w:b/>
          <w:bCs/>
          <w:color w:val="26282F"/>
          <w:sz w:val="24"/>
          <w:szCs w:val="24"/>
        </w:rPr>
      </w:pPr>
      <w:r>
        <w:rPr>
          <w:rFonts w:ascii="Arial" w:hAnsi="Arial" w:cs="Arial"/>
          <w:b/>
          <w:bCs/>
          <w:color w:val="26282F"/>
          <w:sz w:val="24"/>
          <w:szCs w:val="24"/>
        </w:rPr>
        <w:t xml:space="preserve">                                                                                            от 04 октября 2019 года №67</w:t>
      </w:r>
    </w:p>
    <w:bookmarkEnd w:id="1"/>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r>
        <w:rPr>
          <w:rFonts w:ascii="Times New Roman CYR" w:hAnsi="Times New Roman CYR" w:cs="Times New Roman CYR"/>
          <w:b/>
          <w:bCs/>
          <w:color w:val="26282F"/>
          <w:sz w:val="24"/>
          <w:szCs w:val="24"/>
        </w:rPr>
        <w:t>Соглашение</w:t>
      </w:r>
      <w:r>
        <w:rPr>
          <w:rFonts w:ascii="Times New Roman CYR" w:hAnsi="Times New Roman CYR" w:cs="Times New Roman CYR"/>
          <w:b/>
          <w:bCs/>
          <w:color w:val="26282F"/>
          <w:sz w:val="24"/>
          <w:szCs w:val="24"/>
        </w:rPr>
        <w:br/>
        <w:t>о передаче части полномочий Курташкинского сельского поселения Атюрьевского муниципального района по осуществлению внутреннего муниципального финансового контроля Атюрьевскому муниципальному району</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xml:space="preserve">Курташкинское сельское поселение, именуемое в дальнейшем "Поселение", в лице Главы Курташкинского сельского поселения Атюрьевского муниципального района Базаркина С.В., с одной стороны, и, Атюрьевский муниципальный район, именуемый в дальнейшем "Муниципальный район", в лице Главы Атюрьевского муниципального района Гусарова И.С., с другой стороны, руководствуясь </w:t>
      </w:r>
      <w:hyperlink r:id="rId5" w:history="1">
        <w:r>
          <w:rPr>
            <w:rFonts w:ascii="Times New Roman CYR" w:hAnsi="Times New Roman CYR" w:cs="Times New Roman CYR"/>
            <w:color w:val="106BBE"/>
            <w:sz w:val="24"/>
            <w:szCs w:val="24"/>
          </w:rPr>
          <w:t>статьей 15</w:t>
        </w:r>
      </w:hyperlink>
      <w:r>
        <w:rPr>
          <w:rFonts w:ascii="Times New Roman CYR" w:hAnsi="Times New Roman CYR" w:cs="Times New Roman CYR"/>
          <w:sz w:val="24"/>
          <w:szCs w:val="24"/>
        </w:rPr>
        <w:t xml:space="preserve"> Федерального закона от 06.10.2003 г. N 131-ФЗ "Об общих принципах организации местного самоуправления в Российской Федерации", заключили настоящее Соглашение о нижеследующем.</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4" w:name="sub_1100"/>
      <w:r>
        <w:rPr>
          <w:rFonts w:ascii="Times New Roman CYR" w:hAnsi="Times New Roman CYR" w:cs="Times New Roman CYR"/>
          <w:b/>
          <w:bCs/>
          <w:color w:val="26282F"/>
          <w:sz w:val="24"/>
          <w:szCs w:val="24"/>
        </w:rPr>
        <w:t>1. Предмет Соглашения</w:t>
      </w:r>
    </w:p>
    <w:bookmarkEnd w:id="4"/>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5" w:name="sub_111"/>
      <w:r>
        <w:rPr>
          <w:rFonts w:ascii="Times New Roman CYR" w:hAnsi="Times New Roman CYR" w:cs="Times New Roman CYR"/>
          <w:sz w:val="24"/>
          <w:szCs w:val="24"/>
        </w:rPr>
        <w:t>1.1. Поселение передает Муниципальному району осуществление части своих полномочий по осуществлению внутреннего муниципального финансового контроля.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6" w:name="sub_112"/>
      <w:bookmarkEnd w:id="5"/>
      <w:r>
        <w:rPr>
          <w:rFonts w:ascii="Times New Roman CYR" w:hAnsi="Times New Roman CYR" w:cs="Times New Roman CYR"/>
          <w:sz w:val="24"/>
          <w:szCs w:val="24"/>
        </w:rPr>
        <w:t>1.2 Осуществление полномочий по осуществлению внутреннего муниципального финансового контроля возлагается на Финансовое управление администрации Атюрьевского муниципального района Республики Мордовия.</w:t>
      </w:r>
    </w:p>
    <w:bookmarkEnd w:id="6"/>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7" w:name="sub_1200"/>
      <w:r>
        <w:rPr>
          <w:rFonts w:ascii="Times New Roman CYR" w:hAnsi="Times New Roman CYR" w:cs="Times New Roman CYR"/>
          <w:b/>
          <w:bCs/>
          <w:color w:val="26282F"/>
          <w:sz w:val="24"/>
          <w:szCs w:val="24"/>
        </w:rPr>
        <w:t>2. Права и обязанности Поселения при осуществлении Муниципальным районом переданных полномочий</w:t>
      </w:r>
    </w:p>
    <w:bookmarkEnd w:id="7"/>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8" w:name="sub_121"/>
      <w:r>
        <w:rPr>
          <w:rFonts w:ascii="Times New Roman CYR" w:hAnsi="Times New Roman CYR" w:cs="Times New Roman CYR"/>
          <w:sz w:val="24"/>
          <w:szCs w:val="24"/>
        </w:rPr>
        <w:t>2.1. Поселение при осуществлении Муниципальным районом переданных полномочий имеет право на:</w:t>
      </w:r>
    </w:p>
    <w:bookmarkEnd w:id="8"/>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осуществление контроля над исполнением переданных полномочий;</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получение в установленном порядке от муниципального района отчета и иной необходимой информации об использовании финансовых средств на осуществление переданных полномочий.</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9" w:name="sub_122"/>
      <w:r>
        <w:rPr>
          <w:rFonts w:ascii="Times New Roman CYR" w:hAnsi="Times New Roman CYR" w:cs="Times New Roman CYR"/>
          <w:sz w:val="24"/>
          <w:szCs w:val="24"/>
        </w:rPr>
        <w:t>2.2. Администрации района передаются следующие полномочия по осуществлению внутреннего муниципального финансового контроля муниципального образования Курташкинского сельского поселения Атюрьевского муниципального района Республики Мордовия за:</w:t>
      </w:r>
    </w:p>
    <w:bookmarkEnd w:id="9"/>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xml:space="preserve">- соблюдением </w:t>
      </w:r>
      <w:hyperlink r:id="rId6" w:history="1">
        <w:r>
          <w:rPr>
            <w:rFonts w:ascii="Times New Roman CYR" w:hAnsi="Times New Roman CYR" w:cs="Times New Roman CYR"/>
            <w:color w:val="106BBE"/>
            <w:sz w:val="24"/>
            <w:szCs w:val="24"/>
          </w:rPr>
          <w:t>бюджетного законодательства</w:t>
        </w:r>
      </w:hyperlink>
      <w:r>
        <w:rPr>
          <w:rFonts w:ascii="Times New Roman CYR" w:hAnsi="Times New Roman CYR" w:cs="Times New Roman CYR"/>
          <w:sz w:val="24"/>
          <w:szCs w:val="24"/>
        </w:rPr>
        <w:t xml:space="preserve"> Российской Федерации и иных нормативных актов, регулирующих бюджетные правоотношения;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полнотой и достоверностью отчетности о реализации муниципальных программ, в том числе об исполнении муниципальных заданий;</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определением целевого использования бюджетных средств, обоснованности, экономности, результативности и эффективности финансово-хозяйственной деятельности объекта контроля;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ведением бюджетного и бухгалтерского учета, составлением бюджетной и бухгалтерской отчетности об исполнении бюджета;</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целевым и эффективным использованием финансовых и материальных средств, при осуществлении деятельности;</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эффективным управлением и распоряжением муниципальным имуществом, находящимся в собственности сельского поселения (в том числе имущество казны). Выявление неиспользованного по назначению муниципального имущества, выявление нарушений законодательства, содержащего нормы о порядке использования, распоряжения и сохранности муниципального имущества, находящегося на праве оперативного управления, поступлением в бюджет сельского поселения средств от его использования и распоряжения;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операциями с бюджетными средствами, осуществляемыми сельским поселением и учреждениями - получателями средств из бюджета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xml:space="preserve">- соблюдением сельским поселением условий получения и использования межбюджетных трансфертов, предусмотренных </w:t>
      </w:r>
      <w:hyperlink r:id="rId7" w:history="1">
        <w:r>
          <w:rPr>
            <w:rFonts w:ascii="Times New Roman CYR" w:hAnsi="Times New Roman CYR" w:cs="Times New Roman CYR"/>
            <w:color w:val="106BBE"/>
            <w:sz w:val="24"/>
            <w:szCs w:val="24"/>
          </w:rPr>
          <w:t>бюджетным законодательством</w:t>
        </w:r>
      </w:hyperlink>
      <w:r>
        <w:rPr>
          <w:rFonts w:ascii="Times New Roman CYR" w:hAnsi="Times New Roman CYR" w:cs="Times New Roman CYR"/>
          <w:sz w:val="24"/>
          <w:szCs w:val="24"/>
        </w:rPr>
        <w:t xml:space="preserve"> Российской Федерации, Республики Мордовия и иными нормативными правовыми актами;</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выполнением условий исполнения муниципальных контрактов и гражданско-правовых договоров;</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состоянием дебиторской и кредиторской задолженности, превышением предельно допустимого значения просроченной кредиторской задолженности, а также дебиторской задолженности, нереальной к взысканию.</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контроль в сфере муниципальных закупок для нужд муниципального образования Курташкинского сельского поселения Атюрьевского муниципального района Республики Мордовия.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10" w:name="sub_123"/>
      <w:r>
        <w:rPr>
          <w:rFonts w:ascii="Times New Roman CYR" w:hAnsi="Times New Roman CYR" w:cs="Times New Roman CYR"/>
          <w:sz w:val="24"/>
          <w:szCs w:val="24"/>
        </w:rPr>
        <w:t>2.3. Поселение при осуществлении Муниципальным районом переданных полномочий обязано:</w:t>
      </w:r>
    </w:p>
    <w:bookmarkEnd w:id="10"/>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обеспечить передачу Муниципальному району финансовых средств, необходимых для осуществления передаваемых полномочий;</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11" w:name="sub_1300"/>
      <w:r>
        <w:rPr>
          <w:rFonts w:ascii="Times New Roman CYR" w:hAnsi="Times New Roman CYR" w:cs="Times New Roman CYR"/>
          <w:b/>
          <w:bCs/>
          <w:color w:val="26282F"/>
          <w:sz w:val="24"/>
          <w:szCs w:val="24"/>
        </w:rPr>
        <w:t>3. Права и обязанности Муниципального района при осуществлении переданных полномочий</w:t>
      </w:r>
    </w:p>
    <w:bookmarkEnd w:id="11"/>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12" w:name="sub_131"/>
      <w:r>
        <w:rPr>
          <w:rFonts w:ascii="Times New Roman CYR" w:hAnsi="Times New Roman CYR" w:cs="Times New Roman CYR"/>
          <w:sz w:val="24"/>
          <w:szCs w:val="24"/>
        </w:rPr>
        <w:t>3.1. Муниципальный район при осуществлении переданных полномочий имеет право на:</w:t>
      </w:r>
    </w:p>
    <w:bookmarkEnd w:id="12"/>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финансовое обеспечение переданных полномочий за счет предоставляемых районному бюджету Атюрьевского муниципального района иных межбюджетных трансфертов из бюджета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получение разъяснений от Поселения по вопросам осуществления переданных полномочий, материалов, необходимых для: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разработки прогнозных показателей бюджета поселения и консолидированного бюджета Атюрьевского муниципального района Республики Мордовия, составления отчетов;</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осуществления контроля за целевым расходованием средств бюджета района, выделенных бюджету Поселения, а также за исполнением бюджета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внесение предложений, рекомендации и замечаний по представленным материалам;</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дополнительное использование собственных финансовых средств и материальных ресурсов для осуществления переданных полномочий.</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13" w:name="sub_132"/>
      <w:r>
        <w:rPr>
          <w:rFonts w:ascii="Times New Roman CYR" w:hAnsi="Times New Roman CYR" w:cs="Times New Roman CYR"/>
          <w:sz w:val="24"/>
          <w:szCs w:val="24"/>
        </w:rPr>
        <w:t>3.2. Муниципальный район в процессе исполнения полномочий:</w:t>
      </w:r>
    </w:p>
    <w:bookmarkEnd w:id="13"/>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организует работу по бюджетному планированию и исполнению бюджета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обеспечивает методическое руководство по организации бюджетного учета и отчетности.</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В части формирования бюджета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оказывает методологическую помощь в разработке муниципальных правовых актов по введению местных налогов и сборов;</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издает в пределах своей компетенции нормативные правовые акты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сельского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оказывает иную помощь в составлении проекта бюджета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В части исполнения бюджета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утверждает и доводит до главного распорядителя бюджетных средств Поселения уведомления о бюджетных ассигнованиях и их изменениях;</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утверждает и доводит до главного распорядителя бюджетных средств Поселения уведомления о лимитах бюджетных обязательств;</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устанавливает предельные объемы финансирования и доводит их до главного распорядителя бюджетных средств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14" w:name="sub_133"/>
      <w:r>
        <w:rPr>
          <w:rFonts w:ascii="Times New Roman CYR" w:hAnsi="Times New Roman CYR" w:cs="Times New Roman CYR"/>
          <w:sz w:val="24"/>
          <w:szCs w:val="24"/>
        </w:rPr>
        <w:t>3.3. Муниципальный район при осуществлении переданных полномочий обязан:</w:t>
      </w:r>
    </w:p>
    <w:bookmarkEnd w:id="14"/>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вести учет исполнения бюджета Поселения в соответствии с нормативными документами по учету исполнения местных бюджетов и предоставления отчетности;</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15" w:name="sub_1400"/>
      <w:r>
        <w:rPr>
          <w:rFonts w:ascii="Times New Roman CYR" w:hAnsi="Times New Roman CYR" w:cs="Times New Roman CYR"/>
          <w:b/>
          <w:bCs/>
          <w:color w:val="26282F"/>
          <w:sz w:val="24"/>
          <w:szCs w:val="24"/>
        </w:rPr>
        <w:t>4. Финансовые средства, необходимые для осуществления переданных полномочий</w:t>
      </w:r>
    </w:p>
    <w:bookmarkEnd w:id="15"/>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16" w:name="sub_141"/>
      <w:r>
        <w:rPr>
          <w:rFonts w:ascii="Times New Roman CYR" w:hAnsi="Times New Roman CYR" w:cs="Times New Roman CYR"/>
          <w:sz w:val="24"/>
          <w:szCs w:val="24"/>
        </w:rPr>
        <w:t xml:space="preserve">4.1. Финансовое обеспечение переданной Муниципальному району части полномочий по решению вопросов местного значения осуществляется за счет представляемых районному бюджету Атюрьевского муниципального района межбюджетных трансфертов в виде иных межбюджетных трансфертов из бюджета Поселения в соответствии с </w:t>
      </w:r>
      <w:hyperlink r:id="rId8" w:history="1">
        <w:r>
          <w:rPr>
            <w:rFonts w:ascii="Times New Roman CYR" w:hAnsi="Times New Roman CYR" w:cs="Times New Roman CYR"/>
            <w:color w:val="106BBE"/>
            <w:sz w:val="24"/>
            <w:szCs w:val="24"/>
          </w:rPr>
          <w:t>Бюджетным кодексом</w:t>
        </w:r>
      </w:hyperlink>
      <w:r>
        <w:rPr>
          <w:rFonts w:ascii="Times New Roman CYR" w:hAnsi="Times New Roman CYR" w:cs="Times New Roman CYR"/>
          <w:sz w:val="24"/>
          <w:szCs w:val="24"/>
        </w:rPr>
        <w:t xml:space="preserve"> Российской Федерации.</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17" w:name="sub_142"/>
      <w:bookmarkEnd w:id="16"/>
      <w:r>
        <w:rPr>
          <w:rFonts w:ascii="Times New Roman CYR" w:hAnsi="Times New Roman CYR" w:cs="Times New Roman CYR"/>
          <w:sz w:val="24"/>
          <w:szCs w:val="24"/>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Курташкинского сельского поселения Атюрьевского муниципального района о бюджете на очередной финансовый год.</w:t>
      </w:r>
    </w:p>
    <w:bookmarkEnd w:id="17"/>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Объем принимаемых иных межбюджетных трансфертов, предоставляемых районному бюджету Атюрьевского муниципального района для осуществления переданных полномочий, устанавливается решением Совета депутатов Атюрьевского муниципального района о бюджете на очередной финансовый год.</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18" w:name="sub_143"/>
      <w:r>
        <w:rPr>
          <w:rFonts w:ascii="Times New Roman CYR" w:hAnsi="Times New Roman CYR" w:cs="Times New Roman CYR"/>
          <w:sz w:val="24"/>
          <w:szCs w:val="24"/>
        </w:rPr>
        <w:t xml:space="preserve">4.3. Расчет объема иных межбюджетных трансфертов, предоставляемых районному бюджету Атюрьевского муниципального района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Муниципальному району для осуществления переданной части согласно </w:t>
      </w:r>
      <w:hyperlink w:anchor="sub_100" w:history="1">
        <w:r>
          <w:rPr>
            <w:rFonts w:ascii="Times New Roman CYR" w:hAnsi="Times New Roman CYR" w:cs="Times New Roman CYR"/>
            <w:color w:val="106BBE"/>
            <w:sz w:val="24"/>
            <w:szCs w:val="24"/>
          </w:rPr>
          <w:t>приложению</w:t>
        </w:r>
      </w:hyperlink>
      <w:r>
        <w:rPr>
          <w:rFonts w:ascii="Times New Roman CYR" w:hAnsi="Times New Roman CYR" w:cs="Times New Roman CYR"/>
          <w:sz w:val="24"/>
          <w:szCs w:val="24"/>
        </w:rPr>
        <w:t xml:space="preserve"> к настоящему Соглашению.</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19" w:name="sub_144"/>
      <w:bookmarkEnd w:id="18"/>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 xml:space="preserve">4.4. Муниципальному району запрещается использование финансовых средств, полученных на осуществление указанных в </w:t>
      </w:r>
      <w:hyperlink w:anchor="sub_1100" w:history="1">
        <w:r>
          <w:rPr>
            <w:rFonts w:ascii="Times New Roman CYR" w:hAnsi="Times New Roman CYR" w:cs="Times New Roman CYR"/>
            <w:color w:val="106BBE"/>
            <w:sz w:val="24"/>
            <w:szCs w:val="24"/>
          </w:rPr>
          <w:t>разделе 1</w:t>
        </w:r>
      </w:hyperlink>
      <w:r>
        <w:rPr>
          <w:rFonts w:ascii="Times New Roman CYR" w:hAnsi="Times New Roman CYR" w:cs="Times New Roman CYR"/>
          <w:sz w:val="24"/>
          <w:szCs w:val="24"/>
        </w:rPr>
        <w:t xml:space="preserve"> настоящего Соглашения полномочий на иные цели.</w:t>
      </w:r>
    </w:p>
    <w:bookmarkEnd w:id="19"/>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20" w:name="sub_1500"/>
      <w:r>
        <w:rPr>
          <w:rFonts w:ascii="Times New Roman CYR" w:hAnsi="Times New Roman CYR" w:cs="Times New Roman CYR"/>
          <w:b/>
          <w:bCs/>
          <w:color w:val="26282F"/>
          <w:sz w:val="24"/>
          <w:szCs w:val="24"/>
        </w:rPr>
        <w:t>5. Порядок передачи и использования материальных ресурсов</w:t>
      </w:r>
    </w:p>
    <w:bookmarkEnd w:id="20"/>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21" w:name="sub_151"/>
      <w:r>
        <w:rPr>
          <w:rFonts w:ascii="Times New Roman CYR" w:hAnsi="Times New Roman CYR" w:cs="Times New Roman CYR"/>
          <w:sz w:val="24"/>
          <w:szCs w:val="24"/>
        </w:rPr>
        <w:t>5.1. Для осуществления переданных полномочий Муниципальным районом в случае необходимости в пользование передается имущество по договору безвозмездного пользования.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22" w:name="sub_152"/>
      <w:bookmarkEnd w:id="21"/>
      <w:r>
        <w:rPr>
          <w:rFonts w:ascii="Times New Roman CYR" w:hAnsi="Times New Roman CYR" w:cs="Times New Roman CYR"/>
          <w:sz w:val="24"/>
          <w:szCs w:val="24"/>
        </w:rPr>
        <w:t>5.2. Передача материальных средств производится по акту приема - передачи между администрацией Поселения и администрацией Муниципального района.</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23" w:name="sub_153"/>
      <w:bookmarkEnd w:id="22"/>
      <w:r>
        <w:rPr>
          <w:rFonts w:ascii="Times New Roman CYR" w:hAnsi="Times New Roman CYR" w:cs="Times New Roman CYR"/>
          <w:sz w:val="24"/>
          <w:szCs w:val="24"/>
        </w:rPr>
        <w:t>5.3.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bookmarkEnd w:id="23"/>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24" w:name="sub_1600"/>
      <w:r>
        <w:rPr>
          <w:rFonts w:ascii="Times New Roman CYR" w:hAnsi="Times New Roman CYR" w:cs="Times New Roman CYR"/>
          <w:b/>
          <w:bCs/>
          <w:color w:val="26282F"/>
          <w:sz w:val="24"/>
          <w:szCs w:val="24"/>
        </w:rPr>
        <w:t>6. Порядок осуществления Поселением контроля над осуществлением переданных полномочий</w:t>
      </w:r>
    </w:p>
    <w:bookmarkEnd w:id="24"/>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25" w:name="sub_161"/>
      <w:r>
        <w:rPr>
          <w:rFonts w:ascii="Times New Roman CYR" w:hAnsi="Times New Roman CYR" w:cs="Times New Roman CYR"/>
          <w:sz w:val="24"/>
          <w:szCs w:val="24"/>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26" w:name="sub_162"/>
      <w:bookmarkEnd w:id="25"/>
      <w:r>
        <w:rPr>
          <w:rFonts w:ascii="Times New Roman CYR" w:hAnsi="Times New Roman CYR" w:cs="Times New Roman CYR"/>
          <w:sz w:val="24"/>
          <w:szCs w:val="24"/>
        </w:rPr>
        <w:t>6.2. Контроль над исполнением переданных Муниципального района полномочий осуществляется в форме запросов необходимых документов и информации об исполнении переданных полномочий.</w:t>
      </w:r>
    </w:p>
    <w:bookmarkEnd w:id="26"/>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27" w:name="sub_1700"/>
      <w:r>
        <w:rPr>
          <w:rFonts w:ascii="Times New Roman CYR" w:hAnsi="Times New Roman CYR" w:cs="Times New Roman CYR"/>
          <w:b/>
          <w:bCs/>
          <w:color w:val="26282F"/>
          <w:sz w:val="24"/>
          <w:szCs w:val="24"/>
        </w:rPr>
        <w:t>7. Срок действия Соглашения</w:t>
      </w:r>
    </w:p>
    <w:bookmarkEnd w:id="27"/>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28" w:name="sub_171"/>
      <w:r>
        <w:rPr>
          <w:rFonts w:ascii="Times New Roman CYR" w:hAnsi="Times New Roman CYR" w:cs="Times New Roman CYR"/>
          <w:sz w:val="24"/>
          <w:szCs w:val="24"/>
        </w:rPr>
        <w:t>7.1. Настоящее Соглашение заключено на период с 04 октября 2019 года по 03 октября 2022 года.</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29" w:name="sub_172"/>
      <w:bookmarkEnd w:id="28"/>
      <w:r>
        <w:rPr>
          <w:rFonts w:ascii="Times New Roman CYR" w:hAnsi="Times New Roman CYR" w:cs="Times New Roman CYR"/>
          <w:sz w:val="24"/>
          <w:szCs w:val="24"/>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w:anchor="sub_171" w:history="1">
        <w:r>
          <w:rPr>
            <w:rFonts w:ascii="Times New Roman CYR" w:hAnsi="Times New Roman CYR" w:cs="Times New Roman CYR"/>
            <w:color w:val="106BBE"/>
            <w:sz w:val="24"/>
            <w:szCs w:val="24"/>
          </w:rPr>
          <w:t>пунктом 7.1</w:t>
        </w:r>
      </w:hyperlink>
      <w:r>
        <w:rPr>
          <w:rFonts w:ascii="Times New Roman CYR" w:hAnsi="Times New Roman CYR" w:cs="Times New Roman CYR"/>
          <w:sz w:val="24"/>
          <w:szCs w:val="24"/>
        </w:rPr>
        <w:t>. Соглашения.</w:t>
      </w:r>
    </w:p>
    <w:bookmarkEnd w:id="29"/>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30" w:name="sub_1800"/>
      <w:r>
        <w:rPr>
          <w:rFonts w:ascii="Times New Roman CYR" w:hAnsi="Times New Roman CYR" w:cs="Times New Roman CYR"/>
          <w:b/>
          <w:bCs/>
          <w:color w:val="26282F"/>
          <w:sz w:val="24"/>
          <w:szCs w:val="24"/>
        </w:rPr>
        <w:t>8. Основания и порядок прекращения действий Соглашения</w:t>
      </w:r>
    </w:p>
    <w:bookmarkEnd w:id="30"/>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31" w:name="sub_181"/>
      <w:r>
        <w:rPr>
          <w:rFonts w:ascii="Times New Roman CYR" w:hAnsi="Times New Roman CYR" w:cs="Times New Roman CYR"/>
          <w:sz w:val="24"/>
          <w:szCs w:val="24"/>
        </w:rPr>
        <w:t>8.1. Настоящее Соглашение может быть прекращено досрочно:</w:t>
      </w:r>
    </w:p>
    <w:bookmarkEnd w:id="31"/>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1) по соглашению сторон;</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2) в случае неисполнения или ненадлежащего исполнения одной из сторон своих обязательств.</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32" w:name="sub_182"/>
      <w:r>
        <w:rPr>
          <w:rFonts w:ascii="Times New Roman CYR" w:hAnsi="Times New Roman CYR" w:cs="Times New Roman CYR"/>
          <w:sz w:val="24"/>
          <w:szCs w:val="24"/>
        </w:rPr>
        <w:t>8.2. Прекращение осуществления Муниципального района переданных полномочий влечет за собой возврат неиспользованных финансовых и материальных средств, переданных для осуществления полномочий.</w:t>
      </w:r>
    </w:p>
    <w:bookmarkEnd w:id="32"/>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33" w:name="sub_1900"/>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r>
        <w:rPr>
          <w:rFonts w:ascii="Times New Roman CYR" w:hAnsi="Times New Roman CYR" w:cs="Times New Roman CYR"/>
          <w:b/>
          <w:bCs/>
          <w:color w:val="26282F"/>
          <w:sz w:val="24"/>
          <w:szCs w:val="24"/>
        </w:rPr>
        <w:t>9. Порядок предоставления отчетности об осуществлении части переданных полномочий</w:t>
      </w:r>
    </w:p>
    <w:bookmarkEnd w:id="33"/>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34" w:name="sub_191"/>
      <w:r>
        <w:rPr>
          <w:rFonts w:ascii="Times New Roman CYR" w:hAnsi="Times New Roman CYR" w:cs="Times New Roman CYR"/>
          <w:sz w:val="24"/>
          <w:szCs w:val="24"/>
        </w:rPr>
        <w:t xml:space="preserve">9.1. Муниципальный район ежеквартально представляет Поселению отчетность об использовании выделенных финансовых средств на осуществление указанных в </w:t>
      </w:r>
      <w:hyperlink w:anchor="sub_1100" w:history="1">
        <w:r>
          <w:rPr>
            <w:rFonts w:ascii="Times New Roman CYR" w:hAnsi="Times New Roman CYR" w:cs="Times New Roman CYR"/>
            <w:color w:val="106BBE"/>
            <w:sz w:val="24"/>
            <w:szCs w:val="24"/>
          </w:rPr>
          <w:t xml:space="preserve">разделе 1 </w:t>
        </w:r>
      </w:hyperlink>
      <w:r>
        <w:rPr>
          <w:rFonts w:ascii="Times New Roman CYR" w:hAnsi="Times New Roman CYR" w:cs="Times New Roman CYR"/>
          <w:sz w:val="24"/>
          <w:szCs w:val="24"/>
        </w:rPr>
        <w:t>настоящего Соглашения полномочий.</w:t>
      </w:r>
    </w:p>
    <w:bookmarkEnd w:id="34"/>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35" w:name="sub_1010"/>
      <w:r>
        <w:rPr>
          <w:rFonts w:ascii="Times New Roman CYR" w:hAnsi="Times New Roman CYR" w:cs="Times New Roman CYR"/>
          <w:b/>
          <w:bCs/>
          <w:color w:val="26282F"/>
          <w:sz w:val="24"/>
          <w:szCs w:val="24"/>
        </w:rPr>
        <w:t>10. Финансовые санкции за неисполнение Соглашения</w:t>
      </w:r>
    </w:p>
    <w:bookmarkEnd w:id="35"/>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36" w:name="sub_201"/>
      <w:r>
        <w:rPr>
          <w:rFonts w:ascii="Times New Roman CYR" w:hAnsi="Times New Roman CYR" w:cs="Times New Roman CYR"/>
          <w:sz w:val="24"/>
          <w:szCs w:val="24"/>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37" w:name="sub_102"/>
      <w:bookmarkEnd w:id="36"/>
      <w:r>
        <w:rPr>
          <w:rFonts w:ascii="Times New Roman CYR" w:hAnsi="Times New Roman CYR" w:cs="Times New Roman CYR"/>
          <w:sz w:val="24"/>
          <w:szCs w:val="24"/>
        </w:rPr>
        <w:t>10.2.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иных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иных межбюджетных трансфертов за отчетный год, выделяемых из бюджета Поселения на осуществление указанных полномочий.</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38" w:name="sub_103"/>
      <w:bookmarkEnd w:id="37"/>
      <w:r>
        <w:rPr>
          <w:rFonts w:ascii="Times New Roman CYR" w:hAnsi="Times New Roman CYR" w:cs="Times New Roman CYR"/>
          <w:sz w:val="24"/>
          <w:szCs w:val="24"/>
        </w:rPr>
        <w:t>10.3. Муниципальный район несет ответственность за осуществление переданных ему полномочий в той мере, в какой эти полномочия обеспечены финансовыми средствами.</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39" w:name="sub_104"/>
      <w:bookmarkEnd w:id="38"/>
      <w:r>
        <w:rPr>
          <w:rFonts w:ascii="Times New Roman CYR" w:hAnsi="Times New Roman CYR" w:cs="Times New Roman CYR"/>
          <w:sz w:val="24"/>
          <w:szCs w:val="24"/>
        </w:rPr>
        <w:t>10.4. В случае неисполнения Поселением вытекающих из настоящего Соглашения обязательств по финансированию Поселением полномочий, Муниципальный район вправе требовать расторжения настоящего Соглашения, уплаты неустойки в размере 0,01% от суммы иных межбюджетных трансфертов за отчетный год, а также возмещения понесенных убытков в части, непокрытой неустойкой.</w:t>
      </w:r>
    </w:p>
    <w:bookmarkEnd w:id="39"/>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40" w:name="sub_1011"/>
      <w:r>
        <w:rPr>
          <w:rFonts w:ascii="Times New Roman CYR" w:hAnsi="Times New Roman CYR" w:cs="Times New Roman CYR"/>
          <w:b/>
          <w:bCs/>
          <w:color w:val="26282F"/>
          <w:sz w:val="24"/>
          <w:szCs w:val="24"/>
        </w:rPr>
        <w:t>11. Порядок внесения изменений в Соглашение</w:t>
      </w:r>
    </w:p>
    <w:bookmarkEnd w:id="40"/>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41" w:name="sub_1111"/>
      <w:r>
        <w:rPr>
          <w:rFonts w:ascii="Times New Roman CYR" w:hAnsi="Times New Roman CYR" w:cs="Times New Roman CYR"/>
          <w:sz w:val="24"/>
          <w:szCs w:val="24"/>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1"/>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42" w:name="sub_1012"/>
      <w:r>
        <w:rPr>
          <w:rFonts w:ascii="Times New Roman CYR" w:hAnsi="Times New Roman CYR" w:cs="Times New Roman CYR"/>
          <w:b/>
          <w:bCs/>
          <w:color w:val="26282F"/>
          <w:sz w:val="24"/>
          <w:szCs w:val="24"/>
        </w:rPr>
        <w:t>12. Заключительные положения</w:t>
      </w:r>
    </w:p>
    <w:bookmarkEnd w:id="42"/>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43" w:name="sub_1211"/>
      <w:r>
        <w:rPr>
          <w:rFonts w:ascii="Times New Roman CYR" w:hAnsi="Times New Roman CYR" w:cs="Times New Roman CYR"/>
          <w:sz w:val="24"/>
          <w:szCs w:val="24"/>
        </w:rPr>
        <w:t>12.1. Настоящее Соглашение составлено в двух экземплярах, имеющих равную юридическую силу, по одному для каждой из сторон.</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bookmarkStart w:id="44" w:name="sub_1222"/>
      <w:bookmarkEnd w:id="43"/>
      <w:r>
        <w:rPr>
          <w:rFonts w:ascii="Times New Roman CYR" w:hAnsi="Times New Roman CYR" w:cs="Times New Roman CYR"/>
          <w:sz w:val="24"/>
          <w:szCs w:val="24"/>
        </w:rPr>
        <w:t>12.2. Соглашение вступает в силу со дня его официального опубликования.</w:t>
      </w:r>
    </w:p>
    <w:bookmarkEnd w:id="44"/>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bookmarkStart w:id="45" w:name="sub_1013"/>
      <w:r>
        <w:rPr>
          <w:rFonts w:ascii="Times New Roman CYR" w:hAnsi="Times New Roman CYR" w:cs="Times New Roman CYR"/>
          <w:b/>
          <w:bCs/>
          <w:color w:val="26282F"/>
          <w:sz w:val="24"/>
          <w:szCs w:val="24"/>
        </w:rPr>
        <w:t>Подписи сторон</w:t>
      </w:r>
    </w:p>
    <w:bookmarkEnd w:id="45"/>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5320"/>
        <w:gridCol w:w="4900"/>
      </w:tblGrid>
      <w:tr w:rsidR="00514BAA">
        <w:tc>
          <w:tcPr>
            <w:tcW w:w="5320" w:type="dxa"/>
            <w:tcBorders>
              <w:top w:val="nil"/>
              <w:left w:val="nil"/>
              <w:bottom w:val="nil"/>
              <w:right w:val="nil"/>
            </w:tcBorders>
          </w:tcPr>
          <w:p w:rsidR="00514BAA" w:rsidRDefault="00514BA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Глава Курташкинского</w:t>
            </w:r>
          </w:p>
          <w:p w:rsidR="00514BAA" w:rsidRDefault="00514BA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сельского поселения</w:t>
            </w:r>
          </w:p>
          <w:p w:rsidR="00514BAA" w:rsidRDefault="00514BA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Атюрьевского муниципального района</w:t>
            </w:r>
          </w:p>
          <w:p w:rsidR="00514BAA" w:rsidRDefault="00514BAA">
            <w:pPr>
              <w:widowControl w:val="0"/>
              <w:autoSpaceDE w:val="0"/>
              <w:autoSpaceDN w:val="0"/>
              <w:adjustRightInd w:val="0"/>
              <w:spacing w:after="0" w:line="240" w:lineRule="auto"/>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___________________ С.В.Базаркин</w:t>
            </w:r>
          </w:p>
        </w:tc>
        <w:tc>
          <w:tcPr>
            <w:tcW w:w="4900" w:type="dxa"/>
            <w:tcBorders>
              <w:top w:val="nil"/>
              <w:left w:val="nil"/>
              <w:bottom w:val="nil"/>
              <w:right w:val="nil"/>
            </w:tcBorders>
          </w:tcPr>
          <w:p w:rsidR="00514BAA" w:rsidRDefault="00514BA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Глава Атюрьевского муниципального района</w:t>
            </w:r>
          </w:p>
          <w:p w:rsidR="00514BAA" w:rsidRDefault="00514BAA">
            <w:pPr>
              <w:widowControl w:val="0"/>
              <w:autoSpaceDE w:val="0"/>
              <w:autoSpaceDN w:val="0"/>
              <w:adjustRightInd w:val="0"/>
              <w:spacing w:after="0" w:line="240" w:lineRule="auto"/>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________________________ И.С. Гусаров</w:t>
            </w:r>
          </w:p>
        </w:tc>
      </w:tr>
    </w:tbl>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right"/>
        <w:rPr>
          <w:rFonts w:ascii="Arial" w:hAnsi="Arial" w:cs="Arial"/>
          <w:b/>
          <w:bCs/>
          <w:color w:val="26282F"/>
          <w:sz w:val="24"/>
          <w:szCs w:val="24"/>
        </w:rPr>
      </w:pPr>
      <w:bookmarkStart w:id="46" w:name="sub_100"/>
    </w:p>
    <w:p w:rsidR="00514BAA" w:rsidRDefault="00514BAA">
      <w:pPr>
        <w:widowControl w:val="0"/>
        <w:autoSpaceDE w:val="0"/>
        <w:autoSpaceDN w:val="0"/>
        <w:adjustRightInd w:val="0"/>
        <w:spacing w:after="0" w:line="240" w:lineRule="auto"/>
        <w:ind w:firstLine="720"/>
        <w:jc w:val="right"/>
        <w:rPr>
          <w:rFonts w:ascii="Arial" w:hAnsi="Arial" w:cs="Arial"/>
          <w:b/>
          <w:bCs/>
          <w:color w:val="26282F"/>
          <w:sz w:val="24"/>
          <w:szCs w:val="24"/>
        </w:rPr>
      </w:pPr>
    </w:p>
    <w:p w:rsidR="00514BAA" w:rsidRDefault="00514BAA">
      <w:pPr>
        <w:widowControl w:val="0"/>
        <w:autoSpaceDE w:val="0"/>
        <w:autoSpaceDN w:val="0"/>
        <w:adjustRightInd w:val="0"/>
        <w:spacing w:after="0" w:line="240" w:lineRule="auto"/>
        <w:ind w:firstLine="720"/>
        <w:jc w:val="right"/>
        <w:rPr>
          <w:rFonts w:ascii="Arial" w:hAnsi="Arial" w:cs="Arial"/>
          <w:b/>
          <w:bCs/>
          <w:color w:val="26282F"/>
          <w:sz w:val="24"/>
          <w:szCs w:val="24"/>
        </w:rPr>
      </w:pPr>
      <w:r>
        <w:rPr>
          <w:rFonts w:ascii="Arial" w:hAnsi="Arial" w:cs="Arial"/>
          <w:b/>
          <w:bCs/>
          <w:color w:val="26282F"/>
          <w:sz w:val="24"/>
          <w:szCs w:val="24"/>
        </w:rPr>
        <w:t>Приложение</w:t>
      </w:r>
      <w:r>
        <w:rPr>
          <w:rFonts w:ascii="Arial" w:hAnsi="Arial" w:cs="Arial"/>
          <w:b/>
          <w:bCs/>
          <w:color w:val="26282F"/>
          <w:sz w:val="24"/>
          <w:szCs w:val="24"/>
        </w:rPr>
        <w:br/>
        <w:t xml:space="preserve">к </w:t>
      </w:r>
      <w:hyperlink w:anchor="sub_1000" w:history="1">
        <w:r>
          <w:rPr>
            <w:rFonts w:ascii="Arial" w:hAnsi="Arial" w:cs="Arial"/>
            <w:color w:val="106BBE"/>
            <w:sz w:val="24"/>
            <w:szCs w:val="24"/>
          </w:rPr>
          <w:t>Соглашению</w:t>
        </w:r>
      </w:hyperlink>
      <w:r>
        <w:rPr>
          <w:rFonts w:ascii="Arial" w:hAnsi="Arial" w:cs="Arial"/>
          <w:b/>
          <w:bCs/>
          <w:color w:val="26282F"/>
          <w:sz w:val="24"/>
          <w:szCs w:val="24"/>
        </w:rPr>
        <w:t xml:space="preserve"> о передаче части</w:t>
      </w:r>
      <w:r>
        <w:rPr>
          <w:rFonts w:ascii="Arial" w:hAnsi="Arial" w:cs="Arial"/>
          <w:b/>
          <w:bCs/>
          <w:color w:val="26282F"/>
          <w:sz w:val="24"/>
          <w:szCs w:val="24"/>
        </w:rPr>
        <w:br/>
        <w:t>полномочий Курташкинского сельского</w:t>
      </w:r>
      <w:r>
        <w:rPr>
          <w:rFonts w:ascii="Arial" w:hAnsi="Arial" w:cs="Arial"/>
          <w:b/>
          <w:bCs/>
          <w:color w:val="26282F"/>
          <w:sz w:val="24"/>
          <w:szCs w:val="24"/>
        </w:rPr>
        <w:br/>
        <w:t>поселения Атюрьевского муниципального</w:t>
      </w:r>
      <w:r>
        <w:rPr>
          <w:rFonts w:ascii="Arial" w:hAnsi="Arial" w:cs="Arial"/>
          <w:b/>
          <w:bCs/>
          <w:color w:val="26282F"/>
          <w:sz w:val="24"/>
          <w:szCs w:val="24"/>
        </w:rPr>
        <w:br/>
        <w:t>района по вопросам составления и</w:t>
      </w:r>
      <w:r>
        <w:rPr>
          <w:rFonts w:ascii="Arial" w:hAnsi="Arial" w:cs="Arial"/>
          <w:b/>
          <w:bCs/>
          <w:color w:val="26282F"/>
          <w:sz w:val="24"/>
          <w:szCs w:val="24"/>
        </w:rPr>
        <w:br/>
        <w:t>рассмотрения проекта бюджета поселения,</w:t>
      </w:r>
      <w:r>
        <w:rPr>
          <w:rFonts w:ascii="Arial" w:hAnsi="Arial" w:cs="Arial"/>
          <w:b/>
          <w:bCs/>
          <w:color w:val="26282F"/>
          <w:sz w:val="24"/>
          <w:szCs w:val="24"/>
        </w:rPr>
        <w:br/>
        <w:t>утверждения и исполнение бюджета поселения,</w:t>
      </w:r>
      <w:r>
        <w:rPr>
          <w:rFonts w:ascii="Arial" w:hAnsi="Arial" w:cs="Arial"/>
          <w:b/>
          <w:bCs/>
          <w:color w:val="26282F"/>
          <w:sz w:val="24"/>
          <w:szCs w:val="24"/>
        </w:rPr>
        <w:br/>
        <w:t>осуществления контроля за его исполнением,</w:t>
      </w:r>
      <w:r>
        <w:rPr>
          <w:rFonts w:ascii="Arial" w:hAnsi="Arial" w:cs="Arial"/>
          <w:b/>
          <w:bCs/>
          <w:color w:val="26282F"/>
          <w:sz w:val="24"/>
          <w:szCs w:val="24"/>
        </w:rPr>
        <w:br/>
        <w:t>составления и утверждения отчета об</w:t>
      </w:r>
      <w:r>
        <w:rPr>
          <w:rFonts w:ascii="Arial" w:hAnsi="Arial" w:cs="Arial"/>
          <w:b/>
          <w:bCs/>
          <w:color w:val="26282F"/>
          <w:sz w:val="24"/>
          <w:szCs w:val="24"/>
        </w:rPr>
        <w:br/>
        <w:t>исполнении бюджета поселения</w:t>
      </w:r>
      <w:r>
        <w:rPr>
          <w:rFonts w:ascii="Arial" w:hAnsi="Arial" w:cs="Arial"/>
          <w:b/>
          <w:bCs/>
          <w:color w:val="26282F"/>
          <w:sz w:val="24"/>
          <w:szCs w:val="24"/>
        </w:rPr>
        <w:br/>
        <w:t>Атюрьевскому муниципальному району</w:t>
      </w:r>
    </w:p>
    <w:bookmarkEnd w:id="46"/>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rPr>
      </w:pPr>
      <w:r>
        <w:rPr>
          <w:rFonts w:ascii="Times New Roman CYR" w:hAnsi="Times New Roman CYR" w:cs="Times New Roman CYR"/>
          <w:b/>
          <w:bCs/>
          <w:color w:val="26282F"/>
          <w:sz w:val="24"/>
          <w:szCs w:val="24"/>
        </w:rPr>
        <w:t>Методика</w:t>
      </w:r>
      <w:r>
        <w:rPr>
          <w:rFonts w:ascii="Times New Roman CYR" w:hAnsi="Times New Roman CYR" w:cs="Times New Roman CYR"/>
          <w:b/>
          <w:bCs/>
          <w:color w:val="26282F"/>
          <w:sz w:val="24"/>
          <w:szCs w:val="24"/>
        </w:rPr>
        <w:br/>
        <w:t>расчета объема иных межбюджетных трансфертов, предоставляемых Атюрьевскому муниципальному району для осуществления переданной части полномочий Курташкинского сельского поселения Атюрьевского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Методика расчета норматива для определения общего объема межбюджетных трансфертов на осуществление части полномочий Курташкинского сельского поселения Атюрьевского муниципального района по осуществлению внутреннего муниципального финансового контроля: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698"/>
        <w:jc w:val="center"/>
        <w:rPr>
          <w:rFonts w:ascii="Times New Roman CYR" w:hAnsi="Times New Roman CYR" w:cs="Times New Roman CYR"/>
          <w:sz w:val="24"/>
          <w:szCs w:val="24"/>
        </w:rPr>
      </w:pPr>
      <w:r>
        <w:rPr>
          <w:rFonts w:ascii="Times New Roman CYR" w:hAnsi="Times New Roman CYR" w:cs="Times New Roman CYR"/>
          <w:sz w:val="24"/>
          <w:szCs w:val="24"/>
        </w:rPr>
        <w:t>N = (H+С), где:</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N - Норматив для определения общего объема межбюджетных трансфертов на осуществление полномочий Курташкинского сельского поселения Атюрьевского муниципального района по осуществлению внутреннего муниципального финансового контроля в пределах полномочий, установленных законодательством Российской Федерации;</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H - ставка специалиста на обслуживание переданного полномочия (0,1 ставки специалиста первой категории);</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С - прочие расходы составляют 5% от ФОТ специалиста обслуживающего данные полномочия.</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r>
        <w:rPr>
          <w:rFonts w:ascii="Times New Roman CYR" w:hAnsi="Times New Roman CYR" w:cs="Times New Roman CYR"/>
          <w:sz w:val="24"/>
          <w:szCs w:val="24"/>
        </w:rPr>
        <w:t>Курташкинское сельское поселение ежемесячно, в срок до 15 числа текущего месяца, перечисляет бюджету муниципального района иные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w:t>
      </w:r>
    </w:p>
    <w:p w:rsidR="00514BAA" w:rsidRDefault="00514BAA">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514BAA" w:rsidRDefault="00514BAA">
      <w:pPr>
        <w:pStyle w:val="NoSpacing"/>
        <w:jc w:val="right"/>
        <w:rPr>
          <w:rFonts w:ascii="Times New Roman" w:hAnsi="Times New Roman" w:cs="Times New Roman"/>
          <w:b/>
          <w:bCs/>
        </w:rPr>
      </w:pPr>
      <w:r>
        <w:rPr>
          <w:rFonts w:ascii="Times New Roman" w:hAnsi="Times New Roman" w:cs="Times New Roman"/>
          <w:b/>
          <w:bCs/>
        </w:rPr>
        <w:t xml:space="preserve">                                                                                                          </w:t>
      </w:r>
    </w:p>
    <w:bookmarkEnd w:id="2"/>
    <w:p w:rsidR="00514BAA" w:rsidRDefault="00514BAA">
      <w:pPr>
        <w:pStyle w:val="NoSpacing"/>
        <w:jc w:val="right"/>
        <w:rPr>
          <w:rFonts w:ascii="Times New Roman" w:hAnsi="Times New Roman" w:cs="Times New Roman"/>
          <w:b/>
          <w:bCs/>
        </w:rPr>
      </w:pPr>
    </w:p>
    <w:sectPr w:rsidR="00514BAA" w:rsidSect="00514BAA">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37566"/>
    <w:multiLevelType w:val="hybridMultilevel"/>
    <w:tmpl w:val="2EBC273E"/>
    <w:lvl w:ilvl="0" w:tplc="6B3653FA">
      <w:start w:val="2"/>
      <w:numFmt w:val="decimal"/>
      <w:lvlText w:val="%1."/>
      <w:lvlJc w:val="left"/>
      <w:pPr>
        <w:ind w:left="3285" w:hanging="360"/>
      </w:pPr>
      <w:rPr>
        <w:rFonts w:ascii="Times New Roman" w:hAnsi="Times New Roman" w:cs="Times New Roman" w:hint="default"/>
      </w:rPr>
    </w:lvl>
    <w:lvl w:ilvl="1" w:tplc="04190019">
      <w:start w:val="1"/>
      <w:numFmt w:val="lowerLetter"/>
      <w:lvlText w:val="%2."/>
      <w:lvlJc w:val="left"/>
      <w:pPr>
        <w:ind w:left="4005" w:hanging="360"/>
      </w:pPr>
      <w:rPr>
        <w:rFonts w:ascii="Times New Roman" w:hAnsi="Times New Roman" w:cs="Times New Roman"/>
      </w:rPr>
    </w:lvl>
    <w:lvl w:ilvl="2" w:tplc="0419001B">
      <w:start w:val="1"/>
      <w:numFmt w:val="lowerRoman"/>
      <w:lvlText w:val="%3."/>
      <w:lvlJc w:val="right"/>
      <w:pPr>
        <w:ind w:left="4725" w:hanging="180"/>
      </w:pPr>
      <w:rPr>
        <w:rFonts w:ascii="Times New Roman" w:hAnsi="Times New Roman" w:cs="Times New Roman"/>
      </w:rPr>
    </w:lvl>
    <w:lvl w:ilvl="3" w:tplc="0419000F">
      <w:start w:val="1"/>
      <w:numFmt w:val="decimal"/>
      <w:lvlText w:val="%4."/>
      <w:lvlJc w:val="left"/>
      <w:pPr>
        <w:ind w:left="5445" w:hanging="360"/>
      </w:pPr>
      <w:rPr>
        <w:rFonts w:ascii="Times New Roman" w:hAnsi="Times New Roman" w:cs="Times New Roman"/>
      </w:rPr>
    </w:lvl>
    <w:lvl w:ilvl="4" w:tplc="04190019">
      <w:start w:val="1"/>
      <w:numFmt w:val="lowerLetter"/>
      <w:lvlText w:val="%5."/>
      <w:lvlJc w:val="left"/>
      <w:pPr>
        <w:ind w:left="6165" w:hanging="360"/>
      </w:pPr>
      <w:rPr>
        <w:rFonts w:ascii="Times New Roman" w:hAnsi="Times New Roman" w:cs="Times New Roman"/>
      </w:rPr>
    </w:lvl>
    <w:lvl w:ilvl="5" w:tplc="0419001B">
      <w:start w:val="1"/>
      <w:numFmt w:val="lowerRoman"/>
      <w:lvlText w:val="%6."/>
      <w:lvlJc w:val="right"/>
      <w:pPr>
        <w:ind w:left="6885" w:hanging="180"/>
      </w:pPr>
      <w:rPr>
        <w:rFonts w:ascii="Times New Roman" w:hAnsi="Times New Roman" w:cs="Times New Roman"/>
      </w:rPr>
    </w:lvl>
    <w:lvl w:ilvl="6" w:tplc="0419000F">
      <w:start w:val="1"/>
      <w:numFmt w:val="decimal"/>
      <w:lvlText w:val="%7."/>
      <w:lvlJc w:val="left"/>
      <w:pPr>
        <w:ind w:left="7605" w:hanging="360"/>
      </w:pPr>
      <w:rPr>
        <w:rFonts w:ascii="Times New Roman" w:hAnsi="Times New Roman" w:cs="Times New Roman"/>
      </w:rPr>
    </w:lvl>
    <w:lvl w:ilvl="7" w:tplc="04190019">
      <w:start w:val="1"/>
      <w:numFmt w:val="lowerLetter"/>
      <w:lvlText w:val="%8."/>
      <w:lvlJc w:val="left"/>
      <w:pPr>
        <w:ind w:left="8325" w:hanging="360"/>
      </w:pPr>
      <w:rPr>
        <w:rFonts w:ascii="Times New Roman" w:hAnsi="Times New Roman" w:cs="Times New Roman"/>
      </w:rPr>
    </w:lvl>
    <w:lvl w:ilvl="8" w:tplc="0419001B">
      <w:start w:val="1"/>
      <w:numFmt w:val="lowerRoman"/>
      <w:lvlText w:val="%9."/>
      <w:lvlJc w:val="right"/>
      <w:pPr>
        <w:ind w:left="9045" w:hanging="180"/>
      </w:pPr>
      <w:rPr>
        <w:rFonts w:ascii="Times New Roman" w:hAnsi="Times New Roman"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4BAA"/>
    <w:rsid w:val="00514BA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Pr>
      <w:rFonts w:ascii="Calibri" w:hAnsi="Calibri" w:cs="Calibri"/>
    </w:rPr>
  </w:style>
  <w:style w:type="character" w:customStyle="1" w:styleId="NoSpacingChar">
    <w:name w:val="No Spacing Char"/>
    <w:uiPriority w:val="99"/>
    <w:rPr>
      <w:rFonts w:ascii="Calibri" w:hAnsi="Calibri" w:cs="Calibri"/>
      <w:sz w:val="22"/>
      <w:szCs w:val="22"/>
      <w:lang w:eastAsia="ru-RU"/>
    </w:rPr>
  </w:style>
  <w:style w:type="character" w:customStyle="1" w:styleId="a">
    <w:name w:val="Гипертекстовая ссылка"/>
    <w:basedOn w:val="DefaultParagraphFont"/>
    <w:uiPriority w:val="99"/>
    <w:rPr>
      <w:rFonts w:ascii="Times New Roman" w:hAnsi="Times New Roman" w:cs="Times New Roman"/>
      <w:color w:val="106BBE"/>
    </w:rPr>
  </w:style>
  <w:style w:type="paragraph" w:customStyle="1" w:styleId="a0">
    <w:name w:val="Нормальный (таблица)"/>
    <w:basedOn w:val="Normal"/>
    <w:next w:val="Normal"/>
    <w:uiPriority w:val="9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styleId="Hyperlink">
    <w:name w:val="Hyperlink"/>
    <w:basedOn w:val="DefaultParagraphFont"/>
    <w:uiPriority w:val="99"/>
    <w:rPr>
      <w:rFonts w:ascii="Times New Roman" w:hAnsi="Times New Roman" w:cs="Times New Roman"/>
      <w:color w:val="0000FF"/>
      <w:u w:val="single"/>
    </w:rPr>
  </w:style>
  <w:style w:type="paragraph" w:styleId="ListParagraph">
    <w:name w:val="List Paragraph"/>
    <w:basedOn w:val="Normal"/>
    <w:uiPriority w:val="99"/>
    <w:qFormat/>
    <w:pPr>
      <w:ind w:left="720"/>
    </w:pPr>
    <w:rPr>
      <w:lang w:eastAsia="en-US"/>
    </w:rPr>
  </w:style>
  <w:style w:type="paragraph" w:styleId="NormalWeb">
    <w:name w:val="Normal (Web)"/>
    <w:basedOn w:val="Normal"/>
    <w:uiPriority w:val="99"/>
    <w:pPr>
      <w:spacing w:before="100" w:beforeAutospacing="1" w:after="100" w:afterAutospacing="1" w:line="240" w:lineRule="auto"/>
    </w:pPr>
    <w:rPr>
      <w:sz w:val="24"/>
      <w:szCs w:val="24"/>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12604/0" TargetMode="External"/><Relationship Id="rId3" Type="http://schemas.openxmlformats.org/officeDocument/2006/relationships/settings" Target="settings.xml"/><Relationship Id="rId7" Type="http://schemas.openxmlformats.org/officeDocument/2006/relationships/hyperlink" Target="http://internet.garant.ru/document/redirect/12112604/2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12112604/20001" TargetMode="External"/><Relationship Id="rId5" Type="http://schemas.openxmlformats.org/officeDocument/2006/relationships/hyperlink" Target="http://internet.garant.ru/document/redirect/186367/1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2651</Words>
  <Characters>15111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1</dc:creator>
  <cp:keywords/>
  <dc:description/>
  <cp:lastModifiedBy>1</cp:lastModifiedBy>
  <cp:revision>2</cp:revision>
  <cp:lastPrinted>2019-11-21T07:19:00Z</cp:lastPrinted>
  <dcterms:created xsi:type="dcterms:W3CDTF">2019-11-25T19:06:00Z</dcterms:created>
  <dcterms:modified xsi:type="dcterms:W3CDTF">2019-11-25T19:06:00Z</dcterms:modified>
</cp:coreProperties>
</file>