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6289" w:rsidRDefault="00786289">
      <w:pPr>
        <w:pStyle w:val="BodyText"/>
        <w:rPr>
          <w:rFonts w:ascii="Times New Roman" w:hAnsi="Times New Roman" w:cs="Times New Roman"/>
        </w:rPr>
      </w:pPr>
      <w:r>
        <w:rPr>
          <w:rFonts w:ascii="Times New Roman" w:hAnsi="Times New Roman" w:cs="Times New Roman"/>
        </w:rPr>
        <w:t>РЕСПУБЛИКА МОРДОВИЯ</w:t>
      </w:r>
      <w:bookmarkStart w:id="0" w:name="_11567491071241"/>
      <w:bookmarkEnd w:id="0"/>
      <w:r>
        <w:rPr>
          <w:rFonts w:ascii="Times New Roman" w:hAnsi="Times New Roman" w:cs="Times New Roman"/>
        </w:rPr>
        <w:t xml:space="preserve">                                    АДМИНИСТРАЦИЯ                                                 КУРТАШКИНСКОГО СЕЛЬСКОГО  ПОСЕЛЕНИЯ АТЮРЬЕВСКОГО  МУНИЦИПАЛЬНОГО  РАЙОНА</w:t>
      </w:r>
    </w:p>
    <w:p w:rsidR="00786289" w:rsidRDefault="00786289">
      <w:pPr>
        <w:jc w:val="center"/>
        <w:rPr>
          <w:rFonts w:ascii="Times New Roman" w:hAnsi="Times New Roman" w:cs="Times New Roman"/>
          <w:sz w:val="32"/>
          <w:szCs w:val="32"/>
          <w:lang w:eastAsia="ar-SA"/>
        </w:rPr>
      </w:pPr>
    </w:p>
    <w:p w:rsidR="00786289" w:rsidRDefault="00786289">
      <w:pPr>
        <w:jc w:val="center"/>
        <w:rPr>
          <w:rFonts w:ascii="Times New Roman" w:hAnsi="Times New Roman" w:cs="Times New Roman"/>
          <w:b/>
          <w:bCs/>
          <w:sz w:val="32"/>
          <w:szCs w:val="32"/>
          <w:lang w:eastAsia="ar-SA"/>
        </w:rPr>
      </w:pPr>
      <w:r>
        <w:rPr>
          <w:rFonts w:ascii="Times New Roman" w:hAnsi="Times New Roman" w:cs="Times New Roman"/>
          <w:b/>
          <w:bCs/>
          <w:sz w:val="32"/>
          <w:szCs w:val="32"/>
          <w:lang w:eastAsia="ar-SA"/>
        </w:rPr>
        <w:t>ПОСТАНОВЛЕНИЕ</w:t>
      </w:r>
    </w:p>
    <w:p w:rsidR="00786289" w:rsidRDefault="00786289">
      <w:pPr>
        <w:jc w:val="center"/>
        <w:rPr>
          <w:rFonts w:ascii="Times New Roman" w:hAnsi="Times New Roman" w:cs="Times New Roman"/>
          <w:b/>
          <w:bCs/>
          <w:sz w:val="32"/>
          <w:szCs w:val="32"/>
          <w:lang w:eastAsia="ar-SA"/>
        </w:rPr>
      </w:pPr>
      <w:r>
        <w:rPr>
          <w:rFonts w:ascii="Times New Roman" w:hAnsi="Times New Roman" w:cs="Times New Roman"/>
          <w:b/>
          <w:bCs/>
          <w:sz w:val="32"/>
          <w:szCs w:val="32"/>
          <w:lang w:eastAsia="ar-SA"/>
        </w:rPr>
        <w:t>от  29.12.2018 года    № 72</w:t>
      </w:r>
    </w:p>
    <w:p w:rsidR="00786289" w:rsidRDefault="00786289">
      <w:pPr>
        <w:rPr>
          <w:rFonts w:ascii="Times New Roman" w:hAnsi="Times New Roman" w:cs="Times New Roman"/>
          <w:sz w:val="24"/>
          <w:szCs w:val="24"/>
        </w:rPr>
      </w:pPr>
    </w:p>
    <w:p w:rsidR="00786289" w:rsidRDefault="00786289">
      <w:pPr>
        <w:pStyle w:val="ConsPlusTitle"/>
        <w:jc w:val="center"/>
        <w:rPr>
          <w:rFonts w:ascii="Times New Roman" w:hAnsi="Times New Roman" w:cs="Times New Roman"/>
          <w:sz w:val="28"/>
          <w:szCs w:val="28"/>
        </w:rPr>
      </w:pPr>
      <w:r>
        <w:rPr>
          <w:rFonts w:ascii="Times New Roman" w:hAnsi="Times New Roman" w:cs="Times New Roman"/>
          <w:sz w:val="28"/>
          <w:szCs w:val="28"/>
        </w:rPr>
        <w:t>ПОРЯДОК УЧЕТА БЮДЖЕТНЫХ И ДЕНЕЖНЫХ ОБЯЗАТЕЛЬСТВ ПОЛУЧАТЕЛЕЙ СРЕДСТВ БЮДЖЕТА КУРТАШКИНСКОГО СЕЛЬСКОГО ПОСЕЛЕНИЯ АТЮРЬЕВСКОГО МУНИЦИПАЛЬНОГО РАЙОНА РЕСПУБЛИКИ МОРДОВИЯ</w:t>
      </w:r>
    </w:p>
    <w:p w:rsidR="00786289" w:rsidRDefault="00786289">
      <w:pPr>
        <w:rPr>
          <w:rFonts w:ascii="Times New Roman" w:hAnsi="Times New Roman" w:cs="Times New Roman"/>
          <w:sz w:val="28"/>
          <w:szCs w:val="28"/>
        </w:rPr>
      </w:pPr>
    </w:p>
    <w:p w:rsidR="00786289" w:rsidRDefault="0078628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Руководствуясь </w:t>
      </w:r>
      <w:hyperlink r:id="rId7" w:history="1">
        <w:r>
          <w:rPr>
            <w:rFonts w:ascii="Times New Roman" w:hAnsi="Times New Roman" w:cs="Times New Roman"/>
            <w:sz w:val="28"/>
            <w:szCs w:val="28"/>
          </w:rPr>
          <w:t>статьей 219</w:t>
        </w:r>
      </w:hyperlink>
      <w:r>
        <w:rPr>
          <w:rFonts w:ascii="Times New Roman" w:hAnsi="Times New Roman" w:cs="Times New Roman"/>
          <w:sz w:val="28"/>
          <w:szCs w:val="28"/>
        </w:rPr>
        <w:t xml:space="preserve"> Бюджетного кодекса Российской Федерации, администрация Курташкинского сельского поселения постановляет:</w:t>
      </w:r>
    </w:p>
    <w:p w:rsidR="00786289" w:rsidRDefault="00786289">
      <w:pPr>
        <w:pStyle w:val="ConsPlusNormal"/>
        <w:ind w:firstLine="540"/>
        <w:jc w:val="both"/>
        <w:rPr>
          <w:rFonts w:ascii="Times New Roman" w:hAnsi="Times New Roman" w:cs="Times New Roman"/>
          <w:sz w:val="28"/>
          <w:szCs w:val="28"/>
        </w:rPr>
      </w:pPr>
    </w:p>
    <w:p w:rsidR="00786289" w:rsidRDefault="00786289">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 xml:space="preserve">1. Утвердить прилагаемый </w:t>
      </w:r>
      <w:hyperlink w:anchor="P30" w:history="1">
        <w:r>
          <w:rPr>
            <w:rFonts w:ascii="Times New Roman" w:hAnsi="Times New Roman" w:cs="Times New Roman"/>
            <w:sz w:val="28"/>
            <w:szCs w:val="28"/>
          </w:rPr>
          <w:t>Порядок</w:t>
        </w:r>
      </w:hyperlink>
      <w:r>
        <w:rPr>
          <w:rFonts w:ascii="Times New Roman" w:hAnsi="Times New Roman" w:cs="Times New Roman"/>
          <w:sz w:val="28"/>
          <w:szCs w:val="28"/>
        </w:rPr>
        <w:t xml:space="preserve"> учета бюджетных и денежных обязательств получателей средств бюджета Курташкинского сельского поселения Атюрьевского муниципального района Республики Мордовия.</w:t>
      </w:r>
    </w:p>
    <w:p w:rsidR="00786289" w:rsidRDefault="00786289">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2. Признать утратившим силу Постановление</w:t>
      </w:r>
      <w:r>
        <w:rPr>
          <w:rFonts w:ascii="Times New Roman" w:hAnsi="Times New Roman" w:cs="Times New Roman"/>
          <w:color w:val="000000"/>
          <w:sz w:val="28"/>
          <w:szCs w:val="28"/>
        </w:rPr>
        <w:t xml:space="preserve"> администрации </w:t>
      </w:r>
      <w:r>
        <w:rPr>
          <w:rFonts w:ascii="Times New Roman" w:hAnsi="Times New Roman" w:cs="Times New Roman"/>
          <w:sz w:val="28"/>
          <w:szCs w:val="28"/>
        </w:rPr>
        <w:t>Курташкинского сельского поселения Атюрьевского</w:t>
      </w:r>
      <w:r>
        <w:rPr>
          <w:rFonts w:ascii="Times New Roman" w:hAnsi="Times New Roman" w:cs="Times New Roman"/>
          <w:color w:val="000000"/>
          <w:sz w:val="28"/>
          <w:szCs w:val="28"/>
        </w:rPr>
        <w:t xml:space="preserve"> муниципального района Республики Мордовия </w:t>
      </w:r>
      <w:r>
        <w:rPr>
          <w:rFonts w:ascii="Times New Roman" w:hAnsi="Times New Roman" w:cs="Times New Roman"/>
          <w:sz w:val="28"/>
          <w:szCs w:val="28"/>
        </w:rPr>
        <w:t xml:space="preserve">от 04 апреля 2017 г. № 34б </w:t>
      </w:r>
      <w:r>
        <w:rPr>
          <w:rFonts w:ascii="Times New Roman" w:hAnsi="Times New Roman" w:cs="Times New Roman"/>
          <w:color w:val="000000"/>
          <w:sz w:val="28"/>
          <w:szCs w:val="28"/>
        </w:rPr>
        <w:t>"</w:t>
      </w:r>
      <w:r>
        <w:rPr>
          <w:rFonts w:ascii="Times New Roman" w:hAnsi="Times New Roman" w:cs="Times New Roman"/>
          <w:sz w:val="28"/>
          <w:szCs w:val="28"/>
        </w:rPr>
        <w:t>О Порядке учета бюджетных обязательств получателей средств бюджета Курташкинского сельского поселения Атюрьевского муниципального района Республики Мордовия".</w:t>
      </w:r>
    </w:p>
    <w:p w:rsidR="00786289" w:rsidRDefault="00786289">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3. Контроль за исполнением настоящего постановления возложить на главу поселения Базаркина Степана Викторовича.</w:t>
      </w:r>
    </w:p>
    <w:p w:rsidR="00786289" w:rsidRDefault="00786289">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4. Настоящее постановление вступает в силу со дня его подписания и распространяет действие на правоотношения, возникшие с 01 января 2019 г.</w:t>
      </w:r>
    </w:p>
    <w:p w:rsidR="00786289" w:rsidRDefault="00786289">
      <w:pPr>
        <w:pStyle w:val="ConsPlusNormal"/>
        <w:jc w:val="both"/>
        <w:rPr>
          <w:rFonts w:ascii="Times New Roman" w:hAnsi="Times New Roman" w:cs="Times New Roman"/>
          <w:sz w:val="28"/>
          <w:szCs w:val="28"/>
        </w:rPr>
      </w:pPr>
    </w:p>
    <w:p w:rsidR="00786289" w:rsidRDefault="00786289">
      <w:pPr>
        <w:pStyle w:val="ConsPlusNormal"/>
        <w:jc w:val="both"/>
        <w:rPr>
          <w:rFonts w:ascii="Times New Roman" w:hAnsi="Times New Roman" w:cs="Times New Roman"/>
          <w:sz w:val="28"/>
          <w:szCs w:val="28"/>
        </w:rPr>
      </w:pPr>
    </w:p>
    <w:p w:rsidR="00786289" w:rsidRDefault="00786289">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Глава администрации Курташкинского сельского </w:t>
      </w:r>
    </w:p>
    <w:p w:rsidR="00786289" w:rsidRDefault="00786289">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поселения Атюрьевского муниципального </w:t>
      </w:r>
    </w:p>
    <w:p w:rsidR="00786289" w:rsidRDefault="00786289">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района Республики Мордовия                                                             С.В.Базаркин          </w:t>
      </w:r>
    </w:p>
    <w:p w:rsidR="00786289" w:rsidRDefault="00786289">
      <w:pPr>
        <w:pStyle w:val="ConsPlusNormal"/>
        <w:jc w:val="both"/>
        <w:rPr>
          <w:rFonts w:ascii="Times New Roman" w:hAnsi="Times New Roman" w:cs="Times New Roman"/>
          <w:sz w:val="28"/>
          <w:szCs w:val="28"/>
        </w:rPr>
      </w:pPr>
    </w:p>
    <w:p w:rsidR="00786289" w:rsidRDefault="00786289">
      <w:pPr>
        <w:pStyle w:val="ConsPlusNormal"/>
        <w:jc w:val="both"/>
        <w:rPr>
          <w:rFonts w:ascii="Times New Roman" w:hAnsi="Times New Roman" w:cs="Times New Roman"/>
          <w:sz w:val="28"/>
          <w:szCs w:val="28"/>
        </w:rPr>
      </w:pPr>
    </w:p>
    <w:p w:rsidR="00786289" w:rsidRDefault="00786289">
      <w:pPr>
        <w:pStyle w:val="ConsPlusNormal"/>
        <w:jc w:val="both"/>
        <w:rPr>
          <w:rFonts w:ascii="Times New Roman" w:hAnsi="Times New Roman" w:cs="Times New Roman"/>
          <w:sz w:val="28"/>
          <w:szCs w:val="28"/>
        </w:rPr>
      </w:pPr>
    </w:p>
    <w:p w:rsidR="00786289" w:rsidRDefault="00786289">
      <w:pPr>
        <w:pStyle w:val="ConsPlusNormal"/>
        <w:jc w:val="both"/>
        <w:rPr>
          <w:rFonts w:ascii="Times New Roman" w:hAnsi="Times New Roman" w:cs="Times New Roman"/>
          <w:sz w:val="28"/>
          <w:szCs w:val="28"/>
        </w:rPr>
      </w:pPr>
    </w:p>
    <w:p w:rsidR="00786289" w:rsidRDefault="00786289">
      <w:pPr>
        <w:pStyle w:val="ConsPlusNormal"/>
        <w:jc w:val="both"/>
        <w:rPr>
          <w:rFonts w:ascii="Times New Roman" w:hAnsi="Times New Roman" w:cs="Times New Roman"/>
          <w:sz w:val="28"/>
          <w:szCs w:val="28"/>
        </w:rPr>
      </w:pPr>
    </w:p>
    <w:p w:rsidR="00786289" w:rsidRDefault="00786289">
      <w:pPr>
        <w:pStyle w:val="ConsPlusNormal"/>
        <w:ind w:right="-1"/>
        <w:jc w:val="center"/>
        <w:outlineLvl w:val="0"/>
        <w:rPr>
          <w:rFonts w:ascii="Times New Roman" w:hAnsi="Times New Roman" w:cs="Times New Roman"/>
          <w:sz w:val="24"/>
          <w:szCs w:val="24"/>
        </w:rPr>
      </w:pPr>
      <w:r>
        <w:rPr>
          <w:rFonts w:ascii="Times New Roman" w:hAnsi="Times New Roman" w:cs="Times New Roman"/>
          <w:sz w:val="28"/>
          <w:szCs w:val="28"/>
        </w:rPr>
        <w:t xml:space="preserve">                                   </w:t>
      </w:r>
      <w:bookmarkStart w:id="1" w:name="_GoBack"/>
      <w:bookmarkEnd w:id="1"/>
      <w:r>
        <w:rPr>
          <w:rFonts w:ascii="Times New Roman" w:hAnsi="Times New Roman" w:cs="Times New Roman"/>
          <w:sz w:val="24"/>
          <w:szCs w:val="24"/>
        </w:rPr>
        <w:t xml:space="preserve">                                                                                           Утвержден</w:t>
      </w:r>
    </w:p>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                                                                                                Постановлением администрации </w:t>
      </w:r>
    </w:p>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                                                                                                Курташкинского сельского поселения </w:t>
      </w:r>
    </w:p>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                                                                                                   Атюрьевского муниципального района</w:t>
      </w:r>
    </w:p>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                                                                                            Республики Мордовия</w:t>
      </w:r>
    </w:p>
    <w:p w:rsidR="00786289" w:rsidRDefault="00786289">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от «29»декабря  2018 г. №72</w:t>
      </w:r>
    </w:p>
    <w:p w:rsidR="00786289" w:rsidRDefault="00786289">
      <w:pPr>
        <w:pStyle w:val="ConsPlusNormal"/>
        <w:jc w:val="both"/>
        <w:rPr>
          <w:rFonts w:ascii="Times New Roman" w:hAnsi="Times New Roman" w:cs="Times New Roman"/>
          <w:sz w:val="24"/>
          <w:szCs w:val="24"/>
        </w:rPr>
      </w:pPr>
    </w:p>
    <w:p w:rsidR="00786289" w:rsidRDefault="00786289">
      <w:pPr>
        <w:pStyle w:val="ConsPlusNormal"/>
        <w:jc w:val="right"/>
        <w:rPr>
          <w:rFonts w:ascii="Times New Roman" w:hAnsi="Times New Roman" w:cs="Times New Roman"/>
        </w:rPr>
      </w:pPr>
    </w:p>
    <w:p w:rsidR="00786289" w:rsidRDefault="00786289">
      <w:pPr>
        <w:pStyle w:val="ConsPlusTitle"/>
        <w:jc w:val="center"/>
        <w:rPr>
          <w:rFonts w:ascii="Times New Roman" w:hAnsi="Times New Roman" w:cs="Times New Roman"/>
          <w:sz w:val="28"/>
          <w:szCs w:val="28"/>
        </w:rPr>
      </w:pPr>
      <w:r>
        <w:rPr>
          <w:rFonts w:ascii="Times New Roman" w:hAnsi="Times New Roman" w:cs="Times New Roman"/>
          <w:sz w:val="28"/>
          <w:szCs w:val="28"/>
        </w:rPr>
        <w:t>ПОРЯДОК УЧЕТА БЮДЖЕТНЫХ И ДЕНЕЖНЫХ ОБЯЗАТЕЛЬСТВ ПОЛУЧАТЕЛЕЙ СРЕДСТВ БЮДЖЕТА КУРТАШКИНСКОГО СЕЛЬСКОГО ПОСЕЛЕНИЯ АТЮРЬЕВСКОГО МУНИЦИПАЛЬНОГО РАЙОНА РЕСПУБЛИКИ МОРДОВИЯ</w:t>
      </w:r>
    </w:p>
    <w:p w:rsidR="00786289" w:rsidRDefault="00786289">
      <w:pPr>
        <w:pStyle w:val="ConsPlusNormal"/>
        <w:jc w:val="both"/>
        <w:rPr>
          <w:rFonts w:ascii="Times New Roman" w:hAnsi="Times New Roman" w:cs="Times New Roman"/>
          <w:sz w:val="28"/>
          <w:szCs w:val="28"/>
        </w:rPr>
      </w:pPr>
      <w:bookmarkStart w:id="2" w:name="P30"/>
      <w:bookmarkEnd w:id="2"/>
    </w:p>
    <w:p w:rsidR="00786289" w:rsidRDefault="00786289">
      <w:pPr>
        <w:pStyle w:val="ConsPlusNormal"/>
        <w:jc w:val="center"/>
        <w:outlineLvl w:val="1"/>
        <w:rPr>
          <w:rFonts w:ascii="Times New Roman" w:hAnsi="Times New Roman" w:cs="Times New Roman"/>
          <w:b/>
          <w:bCs/>
          <w:sz w:val="28"/>
          <w:szCs w:val="28"/>
        </w:rPr>
      </w:pPr>
      <w:r>
        <w:rPr>
          <w:rFonts w:ascii="Times New Roman" w:hAnsi="Times New Roman" w:cs="Times New Roman"/>
          <w:b/>
          <w:bCs/>
          <w:sz w:val="28"/>
          <w:szCs w:val="28"/>
        </w:rPr>
        <w:t>I. Общие положения</w:t>
      </w:r>
    </w:p>
    <w:p w:rsidR="00786289" w:rsidRDefault="00786289">
      <w:pPr>
        <w:pStyle w:val="ConsPlusNormal"/>
        <w:jc w:val="both"/>
        <w:rPr>
          <w:rFonts w:ascii="Times New Roman" w:hAnsi="Times New Roman" w:cs="Times New Roman"/>
          <w:sz w:val="28"/>
          <w:szCs w:val="28"/>
        </w:rPr>
      </w:pP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1. Настоящий Порядок разработан на основании </w:t>
      </w:r>
      <w:hyperlink r:id="rId8" w:history="1">
        <w:r>
          <w:rPr>
            <w:rFonts w:ascii="Times New Roman" w:hAnsi="Times New Roman" w:cs="Times New Roman"/>
            <w:sz w:val="28"/>
            <w:szCs w:val="28"/>
          </w:rPr>
          <w:t>статьи 219</w:t>
        </w:r>
      </w:hyperlink>
      <w:r>
        <w:rPr>
          <w:rFonts w:ascii="Times New Roman" w:hAnsi="Times New Roman" w:cs="Times New Roman"/>
          <w:sz w:val="28"/>
          <w:szCs w:val="28"/>
        </w:rPr>
        <w:t xml:space="preserve"> Бюджетного кодекса Российской Федерации и устанавливает процедуру исполнения бюджета Курташкинского сельского поселения Атюрьевского муниципального района Республики Мордовия (далее – бюджет) по расходам в части учета органом, осуществляющим открытие и ведение лицевых счетов получателей средств бюджета (далее - орган, осуществляющий открытие и ведение лицевых счетов), бюджетных и денежных обязательств получателей средств бюджета (далее соответственно - бюджетные обязательства, денежные обязательства).</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2. Постановка на учет бюджетных и денежных обязательств осуществляется на основании </w:t>
      </w:r>
      <w:hyperlink w:anchor="P168" w:history="1">
        <w:r>
          <w:rPr>
            <w:rFonts w:ascii="Times New Roman" w:hAnsi="Times New Roman" w:cs="Times New Roman"/>
            <w:sz w:val="28"/>
            <w:szCs w:val="28"/>
          </w:rPr>
          <w:t>сведений</w:t>
        </w:r>
      </w:hyperlink>
      <w:r>
        <w:rPr>
          <w:rFonts w:ascii="Times New Roman" w:hAnsi="Times New Roman" w:cs="Times New Roman"/>
          <w:sz w:val="28"/>
          <w:szCs w:val="28"/>
        </w:rPr>
        <w:t xml:space="preserve"> о бюджетном обязательстве, содержащих информацию согласно приложению № 1 (далее - Сведения о бюджетном обязательстве), и </w:t>
      </w:r>
      <w:hyperlink w:anchor="P298" w:history="1">
        <w:r>
          <w:rPr>
            <w:rFonts w:ascii="Times New Roman" w:hAnsi="Times New Roman" w:cs="Times New Roman"/>
            <w:sz w:val="28"/>
            <w:szCs w:val="28"/>
          </w:rPr>
          <w:t>сведений</w:t>
        </w:r>
      </w:hyperlink>
      <w:r>
        <w:rPr>
          <w:rFonts w:ascii="Times New Roman" w:hAnsi="Times New Roman" w:cs="Times New Roman"/>
          <w:sz w:val="28"/>
          <w:szCs w:val="28"/>
        </w:rPr>
        <w:t xml:space="preserve"> о денежном обязательстве, содержащих информацию согласно приложению № 2 (далее - Сведения о денежном обязательстве)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сформированных получателями средств бюджета или органом, осуществляющим открытие и ведение лицевых счетов, в случаях, установленных настоящим Порядком.</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3. Сведения о бюджетном обязательстве и Сведения о денежном обязательстве (за исключением Сведений о бюджетном обязательстве и Сведений о денежном обязательстве, содержащих сведения, составляющие государственную тайну) формируются в форме электронного документа в информационной системе органа, осуществляющего открытие и ведение лицевых счетов (далее - информационная система), и подписываются усиленной квалифицированной электронной подписью (далее - электронная подпись) лица, уполномоченного действовать от имени получателя средств бюджета, или в случаях, предусмотренных </w:t>
      </w:r>
      <w:hyperlink w:anchor="P60" w:history="1">
        <w:r>
          <w:rPr>
            <w:rFonts w:ascii="Times New Roman" w:hAnsi="Times New Roman" w:cs="Times New Roman"/>
            <w:sz w:val="28"/>
            <w:szCs w:val="28"/>
          </w:rPr>
          <w:t>абзацами десятым</w:t>
        </w:r>
      </w:hyperlink>
      <w:r>
        <w:rPr>
          <w:rFonts w:ascii="Times New Roman" w:hAnsi="Times New Roman" w:cs="Times New Roman"/>
          <w:sz w:val="28"/>
          <w:szCs w:val="28"/>
        </w:rPr>
        <w:t xml:space="preserve"> и </w:t>
      </w:r>
      <w:hyperlink w:anchor="P61" w:history="1">
        <w:r>
          <w:rPr>
            <w:rFonts w:ascii="Times New Roman" w:hAnsi="Times New Roman" w:cs="Times New Roman"/>
            <w:sz w:val="28"/>
            <w:szCs w:val="28"/>
          </w:rPr>
          <w:t>одиннадцатым пункта 8</w:t>
        </w:r>
      </w:hyperlink>
      <w:r>
        <w:rPr>
          <w:rFonts w:ascii="Times New Roman" w:hAnsi="Times New Roman" w:cs="Times New Roman"/>
          <w:sz w:val="28"/>
          <w:szCs w:val="28"/>
        </w:rPr>
        <w:t xml:space="preserve">, </w:t>
      </w:r>
      <w:hyperlink w:anchor="P119" w:history="1">
        <w:r>
          <w:rPr>
            <w:rFonts w:ascii="Times New Roman" w:hAnsi="Times New Roman" w:cs="Times New Roman"/>
            <w:sz w:val="28"/>
            <w:szCs w:val="28"/>
          </w:rPr>
          <w:t>абзацем шестым пункта 25</w:t>
        </w:r>
      </w:hyperlink>
      <w:r>
        <w:rPr>
          <w:rFonts w:ascii="Times New Roman" w:hAnsi="Times New Roman" w:cs="Times New Roman"/>
          <w:sz w:val="28"/>
          <w:szCs w:val="28"/>
        </w:rPr>
        <w:t xml:space="preserve"> настоящего Порядка, - органа, осуществляющего открытие и ведение лицевых счетов.</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4. </w:t>
      </w:r>
      <w:hyperlink w:anchor="P168" w:history="1">
        <w:r>
          <w:rPr>
            <w:rFonts w:ascii="Times New Roman" w:hAnsi="Times New Roman" w:cs="Times New Roman"/>
            <w:sz w:val="28"/>
            <w:szCs w:val="28"/>
          </w:rPr>
          <w:t>Сведения</w:t>
        </w:r>
      </w:hyperlink>
      <w:r>
        <w:rPr>
          <w:rFonts w:ascii="Times New Roman" w:hAnsi="Times New Roman" w:cs="Times New Roman"/>
          <w:sz w:val="28"/>
          <w:szCs w:val="28"/>
        </w:rPr>
        <w:t xml:space="preserve"> о бюджетном обязательстве и </w:t>
      </w:r>
      <w:hyperlink w:anchor="P298" w:history="1">
        <w:r>
          <w:rPr>
            <w:rFonts w:ascii="Times New Roman" w:hAnsi="Times New Roman" w:cs="Times New Roman"/>
            <w:sz w:val="28"/>
            <w:szCs w:val="28"/>
          </w:rPr>
          <w:t>Сведения</w:t>
        </w:r>
      </w:hyperlink>
      <w:r>
        <w:rPr>
          <w:rFonts w:ascii="Times New Roman" w:hAnsi="Times New Roman" w:cs="Times New Roman"/>
          <w:sz w:val="28"/>
          <w:szCs w:val="28"/>
        </w:rPr>
        <w:t xml:space="preserve"> о денежном обязательстве, содержащие сведения, составляющие государственную тайну, формируются и подписываются лицом, имеющим право действовать от имени получателя средств бюджета, и направляются в орган, осуществляющий открытие и ведение лицевых счетов, на бумажном носителе по форме согласно приложению № 1 к настоящему Порядку (код формы по </w:t>
      </w:r>
      <w:hyperlink r:id="rId9" w:history="1">
        <w:r>
          <w:rPr>
            <w:rFonts w:ascii="Times New Roman" w:hAnsi="Times New Roman" w:cs="Times New Roman"/>
            <w:sz w:val="28"/>
            <w:szCs w:val="28"/>
          </w:rPr>
          <w:t>ОКУД</w:t>
        </w:r>
      </w:hyperlink>
      <w:r>
        <w:rPr>
          <w:rFonts w:ascii="Times New Roman" w:hAnsi="Times New Roman" w:cs="Times New Roman"/>
          <w:sz w:val="28"/>
          <w:szCs w:val="28"/>
        </w:rPr>
        <w:t xml:space="preserve"> 0506101) и приложению № 2 настоящему Порядку (код формы по </w:t>
      </w:r>
      <w:hyperlink r:id="rId10" w:history="1">
        <w:r>
          <w:rPr>
            <w:rFonts w:ascii="Times New Roman" w:hAnsi="Times New Roman" w:cs="Times New Roman"/>
            <w:sz w:val="28"/>
            <w:szCs w:val="28"/>
          </w:rPr>
          <w:t>ОКУД</w:t>
        </w:r>
      </w:hyperlink>
      <w:r>
        <w:rPr>
          <w:rFonts w:ascii="Times New Roman" w:hAnsi="Times New Roman" w:cs="Times New Roman"/>
          <w:sz w:val="28"/>
          <w:szCs w:val="28"/>
        </w:rPr>
        <w:t xml:space="preserve"> 0506102) и при наличии технической возможности - на съемном машинном носителе информации (далее - на бумажном носителе). Получатель средств бюджета обеспечивает идентичность информации, содержащейся в Сведениях о бюджетном обязательстве на бумажном носителе, с информацией на съемном машинном носителе информации.</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Постановка на учет бюджетных и денежных обязательств, содержащих сведения, составляющие государственную тайну, формирование и представление получателями средств бюджета Сведений о бюджетном обязательстве и Сведений о денежном обязательстве осуществляется в соответствии с Порядком с соблюдением требований законодательства Российской Федерации о защите государственной тайны.</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5. Лица, имеющие право действовать от имени получателя средств бюджета в соответствии с настоящим Порядком, несут персональную ответственность за формирование Сведений о бюджетном обязательстве и Сведений о денежном обязательстве, за их полноту и достоверность, а также за соблюдение установленных настоящим Порядком сроков их представления.</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786289" w:rsidRDefault="00786289">
      <w:pPr>
        <w:pStyle w:val="ConsPlusNormal"/>
        <w:jc w:val="both"/>
        <w:rPr>
          <w:rFonts w:ascii="Times New Roman" w:hAnsi="Times New Roman" w:cs="Times New Roman"/>
          <w:sz w:val="28"/>
          <w:szCs w:val="28"/>
        </w:rPr>
      </w:pPr>
    </w:p>
    <w:p w:rsidR="00786289" w:rsidRDefault="00786289">
      <w:pPr>
        <w:pStyle w:val="ConsPlusNormal"/>
        <w:jc w:val="center"/>
        <w:outlineLvl w:val="1"/>
        <w:rPr>
          <w:rFonts w:ascii="Times New Roman" w:hAnsi="Times New Roman" w:cs="Times New Roman"/>
          <w:b/>
          <w:bCs/>
          <w:sz w:val="28"/>
          <w:szCs w:val="28"/>
        </w:rPr>
      </w:pPr>
      <w:r>
        <w:rPr>
          <w:rFonts w:ascii="Times New Roman" w:hAnsi="Times New Roman" w:cs="Times New Roman"/>
          <w:b/>
          <w:bCs/>
          <w:sz w:val="28"/>
          <w:szCs w:val="28"/>
        </w:rPr>
        <w:t>II. Порядок учета бюджетных обязательств</w:t>
      </w:r>
    </w:p>
    <w:p w:rsidR="00786289" w:rsidRDefault="00786289">
      <w:pPr>
        <w:pStyle w:val="ConsPlusNormal"/>
        <w:jc w:val="both"/>
        <w:rPr>
          <w:rFonts w:ascii="Times New Roman" w:hAnsi="Times New Roman" w:cs="Times New Roman"/>
          <w:sz w:val="28"/>
          <w:szCs w:val="28"/>
        </w:rPr>
      </w:pP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6. 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 сформированными на основании документов, предусмотренных в </w:t>
      </w:r>
      <w:hyperlink w:anchor="P450" w:history="1">
        <w:r>
          <w:rPr>
            <w:rFonts w:ascii="Times New Roman" w:hAnsi="Times New Roman" w:cs="Times New Roman"/>
            <w:sz w:val="28"/>
            <w:szCs w:val="28"/>
          </w:rPr>
          <w:t>графе 2</w:t>
        </w:r>
      </w:hyperlink>
      <w:r>
        <w:rPr>
          <w:rFonts w:ascii="Times New Roman" w:hAnsi="Times New Roman" w:cs="Times New Roman"/>
          <w:sz w:val="28"/>
          <w:szCs w:val="28"/>
        </w:rPr>
        <w:t xml:space="preserve"> Перечня документов, на основании которых возникают бюджетные обязательства получателей средств бюджета, и документов, подтверждающих возникновение денежных обязательств получателей средств бюджета, согласно приложению № 3 к настоящему Порядку (далее соответственно - документы-основания, Перечень).</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7. Учет бюджетных обязательств по исполнительным документам и решениям налоговых органов осуществляется с учетом раздела III настоящего Порядка.</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8. Сведения о бюджетных обязательствах, возникших на основании документов-оснований, предусмотренных </w:t>
      </w:r>
      <w:hyperlink w:anchor="P456" w:history="1">
        <w:r>
          <w:rPr>
            <w:rFonts w:ascii="Times New Roman" w:hAnsi="Times New Roman" w:cs="Times New Roman"/>
            <w:sz w:val="28"/>
            <w:szCs w:val="28"/>
          </w:rPr>
          <w:t>пунктами 1</w:t>
        </w:r>
      </w:hyperlink>
      <w:r>
        <w:rPr>
          <w:rFonts w:ascii="Times New Roman" w:hAnsi="Times New Roman" w:cs="Times New Roman"/>
          <w:sz w:val="28"/>
          <w:szCs w:val="28"/>
        </w:rPr>
        <w:t xml:space="preserve"> и </w:t>
      </w:r>
      <w:hyperlink w:anchor="P459" w:history="1">
        <w:r>
          <w:rPr>
            <w:rFonts w:ascii="Times New Roman" w:hAnsi="Times New Roman" w:cs="Times New Roman"/>
            <w:sz w:val="28"/>
            <w:szCs w:val="28"/>
          </w:rPr>
          <w:t>2 графы 2</w:t>
        </w:r>
      </w:hyperlink>
      <w:r>
        <w:rPr>
          <w:rFonts w:ascii="Times New Roman" w:hAnsi="Times New Roman" w:cs="Times New Roman"/>
          <w:sz w:val="28"/>
          <w:szCs w:val="28"/>
        </w:rPr>
        <w:t xml:space="preserve"> Перечня (далее - принимаемые бюджетные обязательства), формируются:</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не позднее трех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одновременно с формированием сведений, направляемых на согласование в орган, осуществляющий открытие и ведение лицевых счетов, в соответствии с </w:t>
      </w:r>
      <w:hyperlink r:id="rId11" w:history="1">
        <w:r>
          <w:rPr>
            <w:rFonts w:ascii="Times New Roman" w:hAnsi="Times New Roman" w:cs="Times New Roman"/>
            <w:sz w:val="28"/>
            <w:szCs w:val="28"/>
          </w:rPr>
          <w:t>абзацем вторым пункта 6</w:t>
        </w:r>
      </w:hyperlink>
      <w:r>
        <w:rPr>
          <w:rFonts w:ascii="Times New Roman" w:hAnsi="Times New Roman" w:cs="Times New Roman"/>
          <w:sz w:val="28"/>
          <w:szCs w:val="28"/>
        </w:rPr>
        <w:t xml:space="preserve"> Порядка взаимодействия Федерального казначейства с субъектами контроля, указанными в пунктах 3 и 6 Правил осуществления контроля, предусмотренного частью 5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утвержденного приказом Министерства финансов Российской Федерации от 4 июля 2016 г. N 104н. Информация, содержащаяся в Сведениях о бюджетном обязательстве, должна соответствовать аналогичной информации, содержащейся в указанных сведениях.</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Сведения о бюджетных обязательствах, возникших на основании документов-оснований, предусмотренных </w:t>
      </w:r>
      <w:hyperlink w:anchor="P462" w:history="1">
        <w:r>
          <w:rPr>
            <w:rFonts w:ascii="Times New Roman" w:hAnsi="Times New Roman" w:cs="Times New Roman"/>
            <w:sz w:val="28"/>
            <w:szCs w:val="28"/>
          </w:rPr>
          <w:t>пунктами 3</w:t>
        </w:r>
      </w:hyperlink>
      <w:r>
        <w:rPr>
          <w:rFonts w:ascii="Times New Roman" w:hAnsi="Times New Roman" w:cs="Times New Roman"/>
          <w:sz w:val="28"/>
          <w:szCs w:val="28"/>
        </w:rPr>
        <w:t xml:space="preserve"> - </w:t>
      </w:r>
      <w:hyperlink w:anchor="P547" w:history="1">
        <w:r>
          <w:rPr>
            <w:rFonts w:ascii="Times New Roman" w:hAnsi="Times New Roman" w:cs="Times New Roman"/>
            <w:sz w:val="28"/>
            <w:szCs w:val="28"/>
          </w:rPr>
          <w:t>13 графы 2</w:t>
        </w:r>
      </w:hyperlink>
      <w:r>
        <w:rPr>
          <w:rFonts w:ascii="Times New Roman" w:hAnsi="Times New Roman" w:cs="Times New Roman"/>
          <w:sz w:val="28"/>
          <w:szCs w:val="28"/>
        </w:rPr>
        <w:t xml:space="preserve"> Перечня (далее - принятые бюджетные обязательства), формируются:</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получателем средств бюджета:</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в части принятых бюджетных обязательств, возникших на основании документов-оснований, предусмотренных </w:t>
      </w:r>
      <w:hyperlink w:anchor="P462" w:history="1">
        <w:r>
          <w:rPr>
            <w:rFonts w:ascii="Times New Roman" w:hAnsi="Times New Roman" w:cs="Times New Roman"/>
            <w:sz w:val="28"/>
            <w:szCs w:val="28"/>
          </w:rPr>
          <w:t>пунктами 3</w:t>
        </w:r>
      </w:hyperlink>
      <w:r>
        <w:rPr>
          <w:rFonts w:ascii="Times New Roman" w:hAnsi="Times New Roman" w:cs="Times New Roman"/>
          <w:sz w:val="28"/>
          <w:szCs w:val="28"/>
        </w:rPr>
        <w:t xml:space="preserve"> и </w:t>
      </w:r>
      <w:hyperlink w:anchor="P475" w:history="1">
        <w:r>
          <w:rPr>
            <w:rFonts w:ascii="Times New Roman" w:hAnsi="Times New Roman" w:cs="Times New Roman"/>
            <w:sz w:val="28"/>
            <w:szCs w:val="28"/>
          </w:rPr>
          <w:t>7 графы 2</w:t>
        </w:r>
      </w:hyperlink>
      <w:r>
        <w:rPr>
          <w:rFonts w:ascii="Times New Roman" w:hAnsi="Times New Roman" w:cs="Times New Roman"/>
          <w:sz w:val="28"/>
          <w:szCs w:val="28"/>
        </w:rPr>
        <w:t xml:space="preserve"> Перечня и не содержащих сведения, составляющие государственную тайну, - не позднее трех рабочих дней со дня заключения государственного контракта (договора), указанных в названных пунктах </w:t>
      </w:r>
      <w:hyperlink w:anchor="P450" w:history="1">
        <w:r>
          <w:rPr>
            <w:rFonts w:ascii="Times New Roman" w:hAnsi="Times New Roman" w:cs="Times New Roman"/>
            <w:sz w:val="28"/>
            <w:szCs w:val="28"/>
          </w:rPr>
          <w:t>графы 2</w:t>
        </w:r>
      </w:hyperlink>
      <w:r>
        <w:rPr>
          <w:rFonts w:ascii="Times New Roman" w:hAnsi="Times New Roman" w:cs="Times New Roman"/>
          <w:sz w:val="28"/>
          <w:szCs w:val="28"/>
        </w:rPr>
        <w:t xml:space="preserve"> Перечня;</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в части принятых бюджетных обязательств, возникших на основании документов-оснований, предусмотренных </w:t>
      </w:r>
      <w:hyperlink w:anchor="P462" w:history="1">
        <w:r>
          <w:rPr>
            <w:rFonts w:ascii="Times New Roman" w:hAnsi="Times New Roman" w:cs="Times New Roman"/>
            <w:sz w:val="28"/>
            <w:szCs w:val="28"/>
          </w:rPr>
          <w:t>пунктами 3</w:t>
        </w:r>
      </w:hyperlink>
      <w:r>
        <w:rPr>
          <w:rFonts w:ascii="Times New Roman" w:hAnsi="Times New Roman" w:cs="Times New Roman"/>
          <w:sz w:val="28"/>
          <w:szCs w:val="28"/>
        </w:rPr>
        <w:t xml:space="preserve"> - </w:t>
      </w:r>
      <w:hyperlink w:anchor="P522" w:history="1">
        <w:r>
          <w:rPr>
            <w:rFonts w:ascii="Times New Roman" w:hAnsi="Times New Roman" w:cs="Times New Roman"/>
            <w:sz w:val="28"/>
            <w:szCs w:val="28"/>
          </w:rPr>
          <w:t>9 графы 2</w:t>
        </w:r>
      </w:hyperlink>
      <w:r>
        <w:rPr>
          <w:rFonts w:ascii="Times New Roman" w:hAnsi="Times New Roman" w:cs="Times New Roman"/>
          <w:sz w:val="28"/>
          <w:szCs w:val="28"/>
        </w:rPr>
        <w:t xml:space="preserve"> Перечня, содержащих сведения, составляющие государственную тайну, - не позднее шести рабочих дней со дня их заключения;</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в части принятых бюджетных обязательств, возникших на основании документов-оснований, предусмотренных </w:t>
      </w:r>
      <w:hyperlink w:anchor="P530" w:history="1">
        <w:r>
          <w:rPr>
            <w:rFonts w:ascii="Times New Roman" w:hAnsi="Times New Roman" w:cs="Times New Roman"/>
            <w:sz w:val="28"/>
            <w:szCs w:val="28"/>
          </w:rPr>
          <w:t>пунктом 10 графы 2</w:t>
        </w:r>
      </w:hyperlink>
      <w:r>
        <w:rPr>
          <w:rFonts w:ascii="Times New Roman" w:hAnsi="Times New Roman" w:cs="Times New Roman"/>
          <w:sz w:val="28"/>
          <w:szCs w:val="28"/>
        </w:rPr>
        <w:t xml:space="preserve"> Перечня, - не позднее трех рабочих дней со дня доведения лимитов бюджетных обязательств на принятие и исполнение получателем средств бюджета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органом, осуществляющим открытие и ведение лицевых счетов:</w:t>
      </w:r>
      <w:bookmarkStart w:id="3" w:name="P60"/>
      <w:bookmarkEnd w:id="3"/>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в части принятых бюджетных обязательств, возникших на основании документов-оснований, предусмотренных </w:t>
      </w:r>
      <w:hyperlink w:anchor="P488" w:history="1">
        <w:r>
          <w:rPr>
            <w:rFonts w:ascii="Times New Roman" w:hAnsi="Times New Roman" w:cs="Times New Roman"/>
            <w:sz w:val="28"/>
            <w:szCs w:val="28"/>
          </w:rPr>
          <w:t>пунктами 8,</w:t>
        </w:r>
      </w:hyperlink>
      <w:r>
        <w:rPr>
          <w:rFonts w:ascii="Times New Roman" w:hAnsi="Times New Roman" w:cs="Times New Roman"/>
          <w:sz w:val="28"/>
          <w:szCs w:val="28"/>
        </w:rPr>
        <w:t xml:space="preserve"> </w:t>
      </w:r>
      <w:hyperlink w:anchor="P522" w:history="1">
        <w:r>
          <w:rPr>
            <w:rFonts w:ascii="Times New Roman" w:hAnsi="Times New Roman" w:cs="Times New Roman"/>
            <w:sz w:val="28"/>
            <w:szCs w:val="28"/>
          </w:rPr>
          <w:t>9 графы 2</w:t>
        </w:r>
      </w:hyperlink>
      <w:r>
        <w:rPr>
          <w:rFonts w:ascii="Times New Roman" w:hAnsi="Times New Roman" w:cs="Times New Roman"/>
          <w:sz w:val="28"/>
          <w:szCs w:val="28"/>
        </w:rPr>
        <w:t xml:space="preserve"> Перечня, за исключением документов-оснований, содержащих сведения, составляющие государственную тайну, Сведения о бюджетных обязательствах по которым формируются получателем средств бюджета;</w:t>
      </w:r>
      <w:bookmarkStart w:id="4" w:name="P61"/>
      <w:bookmarkEnd w:id="4"/>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в части принятых бюджетных обязательств, возникших на основании документов-оснований, предусмотренных </w:t>
      </w:r>
      <w:hyperlink w:anchor="P547" w:history="1">
        <w:r>
          <w:rPr>
            <w:rFonts w:ascii="Times New Roman" w:hAnsi="Times New Roman" w:cs="Times New Roman"/>
            <w:sz w:val="28"/>
            <w:szCs w:val="28"/>
          </w:rPr>
          <w:t>пунктом 13 графы 2</w:t>
        </w:r>
      </w:hyperlink>
      <w:r>
        <w:rPr>
          <w:rFonts w:ascii="Times New Roman" w:hAnsi="Times New Roman" w:cs="Times New Roman"/>
          <w:sz w:val="28"/>
          <w:szCs w:val="28"/>
        </w:rPr>
        <w:t xml:space="preserve"> Перечня, одновременно с формированием Сведений о денежных обязательствах по данному бюджетному обязательству.</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9. Сведения о бюджетном обязательстве, возникшем на основании документа-основания, предусмотренного </w:t>
      </w:r>
      <w:hyperlink w:anchor="P475" w:history="1">
        <w:r>
          <w:rPr>
            <w:rFonts w:ascii="Times New Roman" w:hAnsi="Times New Roman" w:cs="Times New Roman"/>
            <w:sz w:val="28"/>
            <w:szCs w:val="28"/>
          </w:rPr>
          <w:t>пунктом 4 графы 2</w:t>
        </w:r>
      </w:hyperlink>
      <w:r>
        <w:rPr>
          <w:rFonts w:ascii="Times New Roman" w:hAnsi="Times New Roman" w:cs="Times New Roman"/>
          <w:sz w:val="28"/>
          <w:szCs w:val="28"/>
        </w:rPr>
        <w:t xml:space="preserve"> Перечня, направляются в орган, осуществляющий открытие и ведение лицевых счетов, с приложением копии договора (документа о внесении изменений в договор),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 за исключением Сведений о бюджетном обязательстве, содержащих сведения, составляющие государственную тайну.</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hyperlink w:anchor="P530" w:history="1">
        <w:r>
          <w:rPr>
            <w:rFonts w:ascii="Times New Roman" w:hAnsi="Times New Roman" w:cs="Times New Roman"/>
            <w:sz w:val="28"/>
            <w:szCs w:val="28"/>
          </w:rPr>
          <w:t>пунктом 10 графы 2</w:t>
        </w:r>
      </w:hyperlink>
      <w:r>
        <w:rPr>
          <w:rFonts w:ascii="Times New Roman" w:hAnsi="Times New Roman" w:cs="Times New Roman"/>
          <w:sz w:val="28"/>
          <w:szCs w:val="28"/>
        </w:rPr>
        <w:t xml:space="preserve"> Перечня, копия указанного документа-основания в орган, осуществляющий открытие и ведение лицевых счетов, не представляется.</w:t>
      </w:r>
      <w:bookmarkStart w:id="5" w:name="P64"/>
      <w:bookmarkEnd w:id="5"/>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10. 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11. В случае внесения изменений в бюджетное обязательство без внесения изменений в документ-основание, документ-основание в орган, осуществляющий открытие и ведение лицевых счетов, повторно не представляется.</w:t>
      </w:r>
      <w:bookmarkStart w:id="6" w:name="P66"/>
      <w:bookmarkEnd w:id="6"/>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12. Постановка на учет бюджетных обязательств (внесение изменений в поставленные на учет бюджетные обязательства), возникших из документов-оснований, предусмотренных </w:t>
      </w:r>
      <w:hyperlink w:anchor="P456" w:history="1">
        <w:r>
          <w:rPr>
            <w:rFonts w:ascii="Times New Roman" w:hAnsi="Times New Roman" w:cs="Times New Roman"/>
            <w:sz w:val="28"/>
            <w:szCs w:val="28"/>
          </w:rPr>
          <w:t>пунктами 1</w:t>
        </w:r>
      </w:hyperlink>
      <w:r>
        <w:rPr>
          <w:rFonts w:ascii="Times New Roman" w:hAnsi="Times New Roman" w:cs="Times New Roman"/>
          <w:sz w:val="28"/>
          <w:szCs w:val="28"/>
        </w:rPr>
        <w:t xml:space="preserve"> - </w:t>
      </w:r>
      <w:hyperlink w:anchor="P547" w:history="1">
        <w:r>
          <w:rPr>
            <w:rFonts w:ascii="Times New Roman" w:hAnsi="Times New Roman" w:cs="Times New Roman"/>
            <w:sz w:val="28"/>
            <w:szCs w:val="28"/>
          </w:rPr>
          <w:t>13 графы 2</w:t>
        </w:r>
      </w:hyperlink>
      <w:r>
        <w:rPr>
          <w:rFonts w:ascii="Times New Roman" w:hAnsi="Times New Roman" w:cs="Times New Roman"/>
          <w:sz w:val="28"/>
          <w:szCs w:val="28"/>
        </w:rPr>
        <w:t xml:space="preserve"> Перечня, осуществляется органом, осуществляющим открытие и ведение лицевых счетов, по итогам проверки, проводимой в соответствии с настоящим пунктом, в течение:</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двух рабочих дней со дня получения от получателя средств бюджета Сведений о бюджетном обязательстве, возникшем на основании документов-оснований, указанных в </w:t>
      </w:r>
      <w:hyperlink w:anchor="P456" w:history="1">
        <w:r>
          <w:rPr>
            <w:rFonts w:ascii="Times New Roman" w:hAnsi="Times New Roman" w:cs="Times New Roman"/>
            <w:sz w:val="28"/>
            <w:szCs w:val="28"/>
          </w:rPr>
          <w:t>пунктах 1</w:t>
        </w:r>
      </w:hyperlink>
      <w:r>
        <w:rPr>
          <w:rFonts w:ascii="Times New Roman" w:hAnsi="Times New Roman" w:cs="Times New Roman"/>
          <w:sz w:val="28"/>
          <w:szCs w:val="28"/>
        </w:rPr>
        <w:t xml:space="preserve"> - 7 и </w:t>
      </w:r>
      <w:hyperlink w:anchor="P530" w:history="1">
        <w:r>
          <w:rPr>
            <w:rFonts w:ascii="Times New Roman" w:hAnsi="Times New Roman" w:cs="Times New Roman"/>
            <w:sz w:val="28"/>
            <w:szCs w:val="28"/>
          </w:rPr>
          <w:t>10</w:t>
        </w:r>
      </w:hyperlink>
      <w:r>
        <w:rPr>
          <w:rFonts w:ascii="Times New Roman" w:hAnsi="Times New Roman" w:cs="Times New Roman"/>
          <w:sz w:val="28"/>
          <w:szCs w:val="28"/>
        </w:rPr>
        <w:t xml:space="preserve"> - </w:t>
      </w:r>
      <w:hyperlink w:anchor="P542" w:history="1">
        <w:r>
          <w:rPr>
            <w:rFonts w:ascii="Times New Roman" w:hAnsi="Times New Roman" w:cs="Times New Roman"/>
            <w:sz w:val="28"/>
            <w:szCs w:val="28"/>
          </w:rPr>
          <w:t>12</w:t>
        </w:r>
      </w:hyperlink>
      <w:r>
        <w:rPr>
          <w:rFonts w:ascii="Times New Roman" w:hAnsi="Times New Roman" w:cs="Times New Roman"/>
          <w:sz w:val="28"/>
          <w:szCs w:val="28"/>
        </w:rPr>
        <w:t xml:space="preserve"> Перечня;</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не позднее следующего рабочего дня со дня формирования органом, осуществляющим открытие и ведение лицевых счетов, Сведений о бюджетных обязательствах, возникших на основании документов-оснований, предусмотренных </w:t>
      </w:r>
      <w:hyperlink w:anchor="P488" w:history="1">
        <w:r>
          <w:rPr>
            <w:rFonts w:ascii="Times New Roman" w:hAnsi="Times New Roman" w:cs="Times New Roman"/>
            <w:sz w:val="28"/>
            <w:szCs w:val="28"/>
          </w:rPr>
          <w:t>пунктами 8,</w:t>
        </w:r>
      </w:hyperlink>
      <w:r>
        <w:rPr>
          <w:rFonts w:ascii="Times New Roman" w:hAnsi="Times New Roman" w:cs="Times New Roman"/>
          <w:sz w:val="28"/>
          <w:szCs w:val="28"/>
        </w:rPr>
        <w:t xml:space="preserve"> </w:t>
      </w:r>
      <w:hyperlink w:anchor="P522" w:history="1">
        <w:r>
          <w:rPr>
            <w:rFonts w:ascii="Times New Roman" w:hAnsi="Times New Roman" w:cs="Times New Roman"/>
            <w:sz w:val="28"/>
            <w:szCs w:val="28"/>
          </w:rPr>
          <w:t>9</w:t>
        </w:r>
      </w:hyperlink>
      <w:r>
        <w:rPr>
          <w:rFonts w:ascii="Times New Roman" w:hAnsi="Times New Roman" w:cs="Times New Roman"/>
          <w:sz w:val="28"/>
          <w:szCs w:val="28"/>
        </w:rPr>
        <w:t xml:space="preserve"> и </w:t>
      </w:r>
      <w:hyperlink w:anchor="P547" w:history="1">
        <w:r>
          <w:rPr>
            <w:rFonts w:ascii="Times New Roman" w:hAnsi="Times New Roman" w:cs="Times New Roman"/>
            <w:sz w:val="28"/>
            <w:szCs w:val="28"/>
          </w:rPr>
          <w:t>13 графы 2</w:t>
        </w:r>
      </w:hyperlink>
      <w:r>
        <w:rPr>
          <w:rFonts w:ascii="Times New Roman" w:hAnsi="Times New Roman" w:cs="Times New Roman"/>
          <w:sz w:val="28"/>
          <w:szCs w:val="28"/>
        </w:rPr>
        <w:t xml:space="preserve"> Перечня.</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Для постановки на учет бюджетного обязательства (внесения изменений в поставленные на учет бюджетные обязательства) орган, осуществляющий открытие и ведение лицевых счетов, осуществляет проверку Сведений о бюджетном обязательстве, возникшем на основании документов-оснований, предусмотренных </w:t>
      </w:r>
      <w:hyperlink w:anchor="P456" w:history="1">
        <w:r>
          <w:rPr>
            <w:rFonts w:ascii="Times New Roman" w:hAnsi="Times New Roman" w:cs="Times New Roman"/>
            <w:sz w:val="28"/>
            <w:szCs w:val="28"/>
          </w:rPr>
          <w:t>пунктами 1</w:t>
        </w:r>
      </w:hyperlink>
      <w:r>
        <w:rPr>
          <w:rFonts w:ascii="Times New Roman" w:hAnsi="Times New Roman" w:cs="Times New Roman"/>
          <w:sz w:val="28"/>
          <w:szCs w:val="28"/>
        </w:rPr>
        <w:t xml:space="preserve"> - </w:t>
      </w:r>
      <w:hyperlink w:anchor="P547" w:history="1">
        <w:r>
          <w:rPr>
            <w:rFonts w:ascii="Times New Roman" w:hAnsi="Times New Roman" w:cs="Times New Roman"/>
            <w:sz w:val="28"/>
            <w:szCs w:val="28"/>
          </w:rPr>
          <w:t>13 графы 2</w:t>
        </w:r>
      </w:hyperlink>
      <w:r>
        <w:rPr>
          <w:rFonts w:ascii="Times New Roman" w:hAnsi="Times New Roman" w:cs="Times New Roman"/>
          <w:sz w:val="28"/>
          <w:szCs w:val="28"/>
        </w:rPr>
        <w:t xml:space="preserve"> Перечня, на:</w:t>
      </w:r>
      <w:bookmarkStart w:id="7" w:name="P70"/>
      <w:bookmarkEnd w:id="7"/>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включения в установленном порядке в реестр контрактов, указанный в </w:t>
      </w:r>
      <w:hyperlink w:anchor="P462" w:history="1">
        <w:r>
          <w:rPr>
            <w:rFonts w:ascii="Times New Roman" w:hAnsi="Times New Roman" w:cs="Times New Roman"/>
            <w:sz w:val="28"/>
            <w:szCs w:val="28"/>
          </w:rPr>
          <w:t>пункте 3 графы 2</w:t>
        </w:r>
      </w:hyperlink>
      <w:r>
        <w:rPr>
          <w:rFonts w:ascii="Times New Roman" w:hAnsi="Times New Roman" w:cs="Times New Roman"/>
          <w:sz w:val="28"/>
          <w:szCs w:val="28"/>
        </w:rPr>
        <w:t xml:space="preserve"> Перечня (за исключением Сведений о бюджетном обязательстве, содержащих сведения, составляющие государственную тайну);</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соответствие информации о бюджетном обязательстве, указанной в Сведениях о бюджетном обязательстве, составу информации, подлежащей включению в </w:t>
      </w:r>
      <w:hyperlink w:anchor="P168" w:history="1">
        <w:r>
          <w:rPr>
            <w:rFonts w:ascii="Times New Roman" w:hAnsi="Times New Roman" w:cs="Times New Roman"/>
            <w:sz w:val="28"/>
            <w:szCs w:val="28"/>
          </w:rPr>
          <w:t>Сведения</w:t>
        </w:r>
      </w:hyperlink>
      <w:r>
        <w:rPr>
          <w:rFonts w:ascii="Times New Roman" w:hAnsi="Times New Roman" w:cs="Times New Roman"/>
          <w:sz w:val="28"/>
          <w:szCs w:val="28"/>
        </w:rPr>
        <w:t xml:space="preserve"> о бюджетном обязательстве в соответствии с приложением №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bookmarkStart w:id="8" w:name="P72"/>
      <w:bookmarkEnd w:id="8"/>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соблюдение правил формирования </w:t>
      </w:r>
      <w:hyperlink w:anchor="P168" w:history="1">
        <w:r>
          <w:rPr>
            <w:rFonts w:ascii="Times New Roman" w:hAnsi="Times New Roman" w:cs="Times New Roman"/>
            <w:sz w:val="28"/>
            <w:szCs w:val="28"/>
          </w:rPr>
          <w:t>Сведений</w:t>
        </w:r>
      </w:hyperlink>
      <w:r>
        <w:rPr>
          <w:rFonts w:ascii="Times New Roman" w:hAnsi="Times New Roman" w:cs="Times New Roman"/>
          <w:sz w:val="28"/>
          <w:szCs w:val="28"/>
        </w:rPr>
        <w:t xml:space="preserve"> о бюджетном обязательстве, установленных настоящей главой и приложением №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bookmarkStart w:id="9" w:name="P73"/>
      <w:bookmarkEnd w:id="9"/>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непревышение суммы бюджетного обязательства по соответствующим кодам классификации расходов над суммой неиспользованных бюджетных ассигнований на исполнение публичных нормативных обязательств или лимитов бюджетных обязательств (далее - лимиты бюджетных обязательств), отраженных на лицевом счете получателя средств бюджета или на лицевом счете для учета операций по переданным полномочиям получателя средств бюджета, открытых в установленном порядке (далее - соответствующий лицевой счет получателя средств бюджета), отдельно для текущего финансового года, для первого и для второго года планового периода;</w:t>
      </w:r>
      <w:bookmarkStart w:id="10" w:name="P74"/>
      <w:bookmarkEnd w:id="10"/>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указанному(ым) в Сведениях о бюджетном обязательстве, документе-основании.</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изменений в поставленные на учет бюджетные обязательства) осуществляется проверка, предусмотренная абзацем восьмым настоящего пункта.</w:t>
      </w:r>
      <w:bookmarkStart w:id="11" w:name="P76"/>
      <w:bookmarkEnd w:id="11"/>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13. В случае представления в орган, осуществляющий открытие и ведение лицевых счетов, Сведений о бюджетном обязательстве на бумажном носителе в дополнение к проверке, предусмотренной </w:t>
      </w:r>
      <w:hyperlink w:anchor="P66" w:history="1">
        <w:r>
          <w:rPr>
            <w:rFonts w:ascii="Times New Roman" w:hAnsi="Times New Roman" w:cs="Times New Roman"/>
            <w:sz w:val="28"/>
            <w:szCs w:val="28"/>
          </w:rPr>
          <w:t>пунктом 12</w:t>
        </w:r>
      </w:hyperlink>
      <w:r>
        <w:rPr>
          <w:rFonts w:ascii="Times New Roman" w:hAnsi="Times New Roman" w:cs="Times New Roman"/>
          <w:sz w:val="28"/>
          <w:szCs w:val="28"/>
        </w:rPr>
        <w:t xml:space="preserve"> настоящего Порядка, также осуществляется проверка Сведений о бюджетном обязательстве на:</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соответствие формы Сведений о бюджетном обязательстве </w:t>
      </w:r>
      <w:hyperlink w:anchor="P168" w:history="1">
        <w:r>
          <w:rPr>
            <w:rFonts w:ascii="Times New Roman" w:hAnsi="Times New Roman" w:cs="Times New Roman"/>
            <w:sz w:val="28"/>
            <w:szCs w:val="28"/>
          </w:rPr>
          <w:t>приложению 1</w:t>
        </w:r>
      </w:hyperlink>
      <w:r>
        <w:rPr>
          <w:rFonts w:ascii="Times New Roman" w:hAnsi="Times New Roman" w:cs="Times New Roman"/>
          <w:sz w:val="28"/>
          <w:szCs w:val="28"/>
        </w:rPr>
        <w:t xml:space="preserve"> к настоящему Порядку;</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отсутствие в представленных Сведениях о бюджетном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bookmarkStart w:id="12" w:name="P79"/>
      <w:bookmarkEnd w:id="12"/>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14. В случае положительного результата проверки Сведений о бюджетном обязательстве, документа-основания на соответствие требованиям, предусмотренным </w:t>
      </w:r>
      <w:hyperlink w:anchor="P66" w:history="1">
        <w:r>
          <w:rPr>
            <w:rFonts w:ascii="Times New Roman" w:hAnsi="Times New Roman" w:cs="Times New Roman"/>
            <w:sz w:val="28"/>
            <w:szCs w:val="28"/>
          </w:rPr>
          <w:t>пунктами 12</w:t>
        </w:r>
      </w:hyperlink>
      <w:r>
        <w:rPr>
          <w:rFonts w:ascii="Times New Roman" w:hAnsi="Times New Roman" w:cs="Times New Roman"/>
          <w:sz w:val="28"/>
          <w:szCs w:val="28"/>
        </w:rPr>
        <w:t xml:space="preserve"> и </w:t>
      </w:r>
      <w:hyperlink w:anchor="P76" w:history="1">
        <w:r>
          <w:rPr>
            <w:rFonts w:ascii="Times New Roman" w:hAnsi="Times New Roman" w:cs="Times New Roman"/>
            <w:sz w:val="28"/>
            <w:szCs w:val="28"/>
          </w:rPr>
          <w:t>13</w:t>
        </w:r>
      </w:hyperlink>
      <w:r>
        <w:rPr>
          <w:rFonts w:ascii="Times New Roman" w:hAnsi="Times New Roman" w:cs="Times New Roman"/>
          <w:sz w:val="28"/>
          <w:szCs w:val="28"/>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ранее поставленное на учет бюджетное обязательство) и не позднее одного рабочего дня со дня указанной проверки Сведений о бюджетном обязательстве, документа-основания направляет получателю средств бюджета извещение о постановке на учет (изменении) бюджетного обязательства, содержащее сведения об учетном номере бюджетного обязательства и о дате постановки на учет (изменении) бюджетного обязательства (код формы по </w:t>
      </w:r>
      <w:hyperlink r:id="rId12" w:history="1">
        <w:r>
          <w:rPr>
            <w:rFonts w:ascii="Times New Roman" w:hAnsi="Times New Roman" w:cs="Times New Roman"/>
            <w:sz w:val="28"/>
            <w:szCs w:val="28"/>
          </w:rPr>
          <w:t>ОКУД</w:t>
        </w:r>
      </w:hyperlink>
      <w:r>
        <w:rPr>
          <w:rFonts w:ascii="Times New Roman" w:hAnsi="Times New Roman" w:cs="Times New Roman"/>
          <w:sz w:val="28"/>
          <w:szCs w:val="28"/>
        </w:rPr>
        <w:t xml:space="preserve"> 0506105) (далее - Извещение о бюджетном обязательстве).</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Извещение о бюджетном обязательстве направляется получателю средств бюджета органом, осуществляющим открытие и ведение лицевых счетов:</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в информационной системе в форме электронного документа, подписанного электронной подписью лица, уполномоченного действовать от имени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 а также Сведений о бюджетном обязательстве, возникших на основании документов-оснований, указанных в </w:t>
      </w:r>
      <w:hyperlink w:anchor="P488" w:history="1">
        <w:r>
          <w:rPr>
            <w:rFonts w:ascii="Times New Roman" w:hAnsi="Times New Roman" w:cs="Times New Roman"/>
            <w:sz w:val="28"/>
            <w:szCs w:val="28"/>
          </w:rPr>
          <w:t>пунктах 8,</w:t>
        </w:r>
      </w:hyperlink>
      <w:r>
        <w:rPr>
          <w:rFonts w:ascii="Times New Roman" w:hAnsi="Times New Roman" w:cs="Times New Roman"/>
          <w:sz w:val="28"/>
          <w:szCs w:val="28"/>
        </w:rPr>
        <w:t xml:space="preserve"> </w:t>
      </w:r>
      <w:hyperlink w:anchor="P522" w:history="1">
        <w:r>
          <w:rPr>
            <w:rFonts w:ascii="Times New Roman" w:hAnsi="Times New Roman" w:cs="Times New Roman"/>
            <w:sz w:val="28"/>
            <w:szCs w:val="28"/>
          </w:rPr>
          <w:t>9</w:t>
        </w:r>
      </w:hyperlink>
      <w:r>
        <w:rPr>
          <w:rFonts w:ascii="Times New Roman" w:hAnsi="Times New Roman" w:cs="Times New Roman"/>
          <w:sz w:val="28"/>
          <w:szCs w:val="28"/>
        </w:rPr>
        <w:t xml:space="preserve"> и </w:t>
      </w:r>
      <w:hyperlink w:anchor="P547" w:history="1">
        <w:r>
          <w:rPr>
            <w:rFonts w:ascii="Times New Roman" w:hAnsi="Times New Roman" w:cs="Times New Roman"/>
            <w:sz w:val="28"/>
            <w:szCs w:val="28"/>
          </w:rPr>
          <w:t>13 графы 2</w:t>
        </w:r>
      </w:hyperlink>
      <w:r>
        <w:rPr>
          <w:rFonts w:ascii="Times New Roman" w:hAnsi="Times New Roman" w:cs="Times New Roman"/>
          <w:sz w:val="28"/>
          <w:szCs w:val="28"/>
        </w:rPr>
        <w:t xml:space="preserve"> Перечня;</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на бумажном носителе по форме согласно </w:t>
      </w:r>
      <w:hyperlink r:id="rId13" w:history="1">
        <w:r>
          <w:rPr>
            <w:rFonts w:ascii="Times New Roman" w:hAnsi="Times New Roman" w:cs="Times New Roman"/>
            <w:sz w:val="28"/>
            <w:szCs w:val="28"/>
          </w:rPr>
          <w:t>приложению № 11</w:t>
        </w:r>
      </w:hyperlink>
      <w:r>
        <w:rPr>
          <w:rFonts w:ascii="Times New Roman" w:hAnsi="Times New Roman" w:cs="Times New Roman"/>
          <w:sz w:val="28"/>
          <w:szCs w:val="28"/>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4" w:history="1">
        <w:r>
          <w:rPr>
            <w:rFonts w:ascii="Times New Roman" w:hAnsi="Times New Roman" w:cs="Times New Roman"/>
            <w:sz w:val="28"/>
            <w:szCs w:val="28"/>
          </w:rPr>
          <w:t>ОКУД</w:t>
        </w:r>
      </w:hyperlink>
      <w:r>
        <w:rPr>
          <w:rFonts w:ascii="Times New Roman" w:hAnsi="Times New Roman" w:cs="Times New Roman"/>
          <w:sz w:val="28"/>
          <w:szCs w:val="28"/>
        </w:rPr>
        <w:t xml:space="preserve"> 0506105) - в отношении Сведений о бюджетном обязательстве, представленных на бумажном носителе.</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Извещение о бюджетном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15. 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Учетный номер бюджетного обязательства имеет следующую структуру, состоящую из девятнадцати разрядов:</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с 1 по 8 разряд - уникальный код получателя средств бюджета по реестру участников бюджетного процесса, а также юридических лиц, не являющихся участниками бюджетного процесса (далее - Сводный реестр);</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- 9 и 10 разряды - последние две цифры года, в котором бюджетное обязательство поставлено на учет;</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Одно поставленное на учет бюджетное обязательство может содержать несколько кодов классификации расходов.</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Если в одном муниципальном контракте (договоре) предусматривается наличие бюджетных обязательств по нескольким лицевым счетам получателя средств бюджета, то такие бюджетные обязательства учитываются раздельно с присвоением учетного номера каждому бюджетному обязательству.</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16. В случае отрицательного результата проверки Сведений о бюджетном обязательстве на соответствие требованиям, предусмотренным: </w:t>
      </w:r>
    </w:p>
    <w:p w:rsidR="00786289" w:rsidRDefault="00786289">
      <w:pPr>
        <w:pStyle w:val="ConsPlusNormal"/>
        <w:ind w:firstLine="709"/>
        <w:jc w:val="both"/>
        <w:rPr>
          <w:rFonts w:ascii="Times New Roman" w:hAnsi="Times New Roman" w:cs="Times New Roman"/>
          <w:sz w:val="28"/>
          <w:szCs w:val="28"/>
        </w:rPr>
      </w:pPr>
      <w:hyperlink w:anchor="P70" w:history="1">
        <w:r>
          <w:rPr>
            <w:rFonts w:ascii="Times New Roman" w:hAnsi="Times New Roman" w:cs="Times New Roman"/>
            <w:sz w:val="28"/>
            <w:szCs w:val="28"/>
          </w:rPr>
          <w:t>абзацами пятым</w:t>
        </w:r>
      </w:hyperlink>
      <w:r>
        <w:rPr>
          <w:rFonts w:ascii="Times New Roman" w:hAnsi="Times New Roman" w:cs="Times New Roman"/>
          <w:sz w:val="28"/>
          <w:szCs w:val="28"/>
        </w:rPr>
        <w:t xml:space="preserve"> - </w:t>
      </w:r>
      <w:hyperlink w:anchor="P72" w:history="1">
        <w:r>
          <w:rPr>
            <w:rFonts w:ascii="Times New Roman" w:hAnsi="Times New Roman" w:cs="Times New Roman"/>
            <w:sz w:val="28"/>
            <w:szCs w:val="28"/>
          </w:rPr>
          <w:t>седьмым</w:t>
        </w:r>
      </w:hyperlink>
      <w:r>
        <w:rPr>
          <w:rFonts w:ascii="Times New Roman" w:hAnsi="Times New Roman" w:cs="Times New Roman"/>
          <w:sz w:val="28"/>
          <w:szCs w:val="28"/>
        </w:rPr>
        <w:t xml:space="preserve">, </w:t>
      </w:r>
      <w:hyperlink w:anchor="P74" w:history="1">
        <w:r>
          <w:rPr>
            <w:rFonts w:ascii="Times New Roman" w:hAnsi="Times New Roman" w:cs="Times New Roman"/>
            <w:sz w:val="28"/>
            <w:szCs w:val="28"/>
          </w:rPr>
          <w:t>девятым пункта 12</w:t>
        </w:r>
      </w:hyperlink>
      <w:r>
        <w:rPr>
          <w:rFonts w:ascii="Times New Roman" w:hAnsi="Times New Roman" w:cs="Times New Roman"/>
          <w:sz w:val="28"/>
          <w:szCs w:val="28"/>
        </w:rPr>
        <w:t xml:space="preserve"> настоящего Порядка, орган, осуществляющий открытие и ведение лицевых счетов, в срок, установленный в </w:t>
      </w:r>
      <w:hyperlink w:anchor="P66" w:history="1">
        <w:r>
          <w:rPr>
            <w:rFonts w:ascii="Times New Roman" w:hAnsi="Times New Roman" w:cs="Times New Roman"/>
            <w:sz w:val="28"/>
            <w:szCs w:val="28"/>
          </w:rPr>
          <w:t>пункте 12</w:t>
        </w:r>
      </w:hyperlink>
      <w:r>
        <w:rPr>
          <w:rFonts w:ascii="Times New Roman" w:hAnsi="Times New Roman" w:cs="Times New Roman"/>
          <w:sz w:val="28"/>
          <w:szCs w:val="28"/>
        </w:rPr>
        <w:t xml:space="preserve"> настоящего Порядка, возвращает получателю средств бюджета представленные на бумажном носителе Сведения о бюджетном обязательстве с приложением Протокола (код формы по КФД 0531805) (далее - Протокол), направляет получателю средств бюджета Протокол в электронном виде, если Сведения о бюджетном обязательстве направлялись в форме электронного документа, с указанием в Протоколе причины, по которой не осуществляется постановка на учет бюджетного обязательства;</w:t>
      </w:r>
    </w:p>
    <w:p w:rsidR="00786289" w:rsidRDefault="00786289">
      <w:pPr>
        <w:pStyle w:val="ConsPlusNormal"/>
        <w:ind w:firstLine="709"/>
        <w:jc w:val="both"/>
        <w:rPr>
          <w:rFonts w:ascii="Times New Roman" w:hAnsi="Times New Roman" w:cs="Times New Roman"/>
          <w:sz w:val="28"/>
          <w:szCs w:val="28"/>
        </w:rPr>
      </w:pPr>
      <w:hyperlink w:anchor="P73" w:history="1">
        <w:r>
          <w:rPr>
            <w:rFonts w:ascii="Times New Roman" w:hAnsi="Times New Roman" w:cs="Times New Roman"/>
            <w:sz w:val="28"/>
            <w:szCs w:val="28"/>
          </w:rPr>
          <w:t>абзацем восьмым пункта 12</w:t>
        </w:r>
      </w:hyperlink>
      <w:r>
        <w:rPr>
          <w:rFonts w:ascii="Times New Roman" w:hAnsi="Times New Roman" w:cs="Times New Roman"/>
          <w:sz w:val="28"/>
          <w:szCs w:val="28"/>
        </w:rPr>
        <w:t xml:space="preserve"> настоящего Порядка, орган, осуществляющий открытие и ведение лицевых счетов, в срок, установленный в </w:t>
      </w:r>
      <w:hyperlink w:anchor="P66" w:history="1">
        <w:r>
          <w:rPr>
            <w:rFonts w:ascii="Times New Roman" w:hAnsi="Times New Roman" w:cs="Times New Roman"/>
            <w:sz w:val="28"/>
            <w:szCs w:val="28"/>
          </w:rPr>
          <w:t>пункте 12</w:t>
        </w:r>
      </w:hyperlink>
      <w:r>
        <w:rPr>
          <w:rFonts w:ascii="Times New Roman" w:hAnsi="Times New Roman" w:cs="Times New Roman"/>
          <w:sz w:val="28"/>
          <w:szCs w:val="28"/>
        </w:rPr>
        <w:t xml:space="preserve"> настоящего Порядка:</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в отношении Сведений о бюджетных обязательствах, возникших на основании документов-оснований, предусмотренных </w:t>
      </w:r>
      <w:hyperlink w:anchor="P456" w:history="1">
        <w:r>
          <w:rPr>
            <w:rFonts w:ascii="Times New Roman" w:hAnsi="Times New Roman" w:cs="Times New Roman"/>
            <w:sz w:val="28"/>
            <w:szCs w:val="28"/>
          </w:rPr>
          <w:t>пунктами 1</w:t>
        </w:r>
      </w:hyperlink>
      <w:r>
        <w:rPr>
          <w:rFonts w:ascii="Times New Roman" w:hAnsi="Times New Roman" w:cs="Times New Roman"/>
          <w:sz w:val="28"/>
          <w:szCs w:val="28"/>
        </w:rPr>
        <w:t xml:space="preserve">, </w:t>
      </w:r>
      <w:hyperlink w:anchor="P459" w:history="1">
        <w:r>
          <w:rPr>
            <w:rFonts w:ascii="Times New Roman" w:hAnsi="Times New Roman" w:cs="Times New Roman"/>
            <w:sz w:val="28"/>
            <w:szCs w:val="28"/>
          </w:rPr>
          <w:t>2</w:t>
        </w:r>
      </w:hyperlink>
      <w:r>
        <w:rPr>
          <w:rFonts w:ascii="Times New Roman" w:hAnsi="Times New Roman" w:cs="Times New Roman"/>
          <w:sz w:val="28"/>
          <w:szCs w:val="28"/>
        </w:rPr>
        <w:t xml:space="preserve"> и </w:t>
      </w:r>
      <w:hyperlink w:anchor="P547" w:history="1">
        <w:r>
          <w:rPr>
            <w:rFonts w:ascii="Times New Roman" w:hAnsi="Times New Roman" w:cs="Times New Roman"/>
            <w:sz w:val="28"/>
            <w:szCs w:val="28"/>
          </w:rPr>
          <w:t>13 графы 2</w:t>
        </w:r>
      </w:hyperlink>
      <w:r>
        <w:rPr>
          <w:rFonts w:ascii="Times New Roman" w:hAnsi="Times New Roman" w:cs="Times New Roman"/>
          <w:sz w:val="28"/>
          <w:szCs w:val="28"/>
        </w:rPr>
        <w:t xml:space="preserve"> Перечня, - возвращает получателю средств бюджета представленные на бумажном носителе Сведения о бюджетном обязательстве с приложением Протокола либо направляет получателю средств бюджета Протокол, сформированный в электронном виде, если Сведения о бюджетном обязательстве представлялись в форме электронного документа, с указанием в протоколах причины, по которой не осуществляется постановка на учет бюджетного обязательства;</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в отношении Сведений о бюджетных обязательствах, возникших на основании документов-оснований, предусмотренных </w:t>
      </w:r>
      <w:hyperlink w:anchor="P462" w:history="1">
        <w:r>
          <w:rPr>
            <w:rFonts w:ascii="Times New Roman" w:hAnsi="Times New Roman" w:cs="Times New Roman"/>
            <w:sz w:val="28"/>
            <w:szCs w:val="28"/>
          </w:rPr>
          <w:t>пунктами 3</w:t>
        </w:r>
      </w:hyperlink>
      <w:r>
        <w:rPr>
          <w:rFonts w:ascii="Times New Roman" w:hAnsi="Times New Roman" w:cs="Times New Roman"/>
          <w:sz w:val="28"/>
          <w:szCs w:val="28"/>
        </w:rPr>
        <w:t xml:space="preserve"> - </w:t>
      </w:r>
      <w:hyperlink w:anchor="P542" w:history="1">
        <w:r>
          <w:rPr>
            <w:rFonts w:ascii="Times New Roman" w:hAnsi="Times New Roman" w:cs="Times New Roman"/>
            <w:sz w:val="28"/>
            <w:szCs w:val="28"/>
          </w:rPr>
          <w:t>12 графы 2</w:t>
        </w:r>
      </w:hyperlink>
      <w:r>
        <w:rPr>
          <w:rFonts w:ascii="Times New Roman" w:hAnsi="Times New Roman" w:cs="Times New Roman"/>
          <w:sz w:val="28"/>
          <w:szCs w:val="28"/>
        </w:rPr>
        <w:t xml:space="preserve"> Перечня, - присваивает учетный номер бюджетному обязательству (вносит изменения в 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получателю средств бюджета - Извещение о бюджетном обязательстве с указанием информации, предусмотренной </w:t>
      </w:r>
      <w:hyperlink w:anchor="P79" w:history="1">
        <w:r>
          <w:rPr>
            <w:rFonts w:ascii="Times New Roman" w:hAnsi="Times New Roman" w:cs="Times New Roman"/>
            <w:sz w:val="28"/>
            <w:szCs w:val="28"/>
          </w:rPr>
          <w:t>пунктом 14</w:t>
        </w:r>
      </w:hyperlink>
      <w:r>
        <w:rPr>
          <w:rFonts w:ascii="Times New Roman" w:hAnsi="Times New Roman" w:cs="Times New Roman"/>
          <w:sz w:val="28"/>
          <w:szCs w:val="28"/>
        </w:rPr>
        <w:t xml:space="preserve"> настоящего Порядка;</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получателю средств бюджета и главному распорядителю средств бюджета, в ведении которого находится получатель средств бюджета, </w:t>
      </w:r>
      <w:hyperlink r:id="rId15" w:history="1">
        <w:r>
          <w:rPr>
            <w:rFonts w:ascii="Times New Roman" w:hAnsi="Times New Roman" w:cs="Times New Roman"/>
            <w:sz w:val="28"/>
            <w:szCs w:val="28"/>
          </w:rPr>
          <w:t>Уведомление</w:t>
        </w:r>
      </w:hyperlink>
      <w:r>
        <w:rPr>
          <w:rFonts w:ascii="Times New Roman" w:hAnsi="Times New Roman" w:cs="Times New Roman"/>
          <w:sz w:val="28"/>
          <w:szCs w:val="28"/>
        </w:rPr>
        <w:t xml:space="preserve"> о превышении бюджетным обязательством неиспользованных лимитов бюджетных обязательств по форме согласно приложению № 4.2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6" w:history="1">
        <w:r>
          <w:rPr>
            <w:rFonts w:ascii="Times New Roman" w:hAnsi="Times New Roman" w:cs="Times New Roman"/>
            <w:sz w:val="28"/>
            <w:szCs w:val="28"/>
          </w:rPr>
          <w:t>ОКУД</w:t>
        </w:r>
      </w:hyperlink>
      <w:r>
        <w:rPr>
          <w:rFonts w:ascii="Times New Roman" w:hAnsi="Times New Roman" w:cs="Times New Roman"/>
          <w:sz w:val="28"/>
          <w:szCs w:val="28"/>
        </w:rPr>
        <w:t xml:space="preserve"> 0506111).</w:t>
      </w:r>
      <w:bookmarkStart w:id="13" w:name="P97"/>
      <w:bookmarkEnd w:id="13"/>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17. Внесение изменений в бюджетное обязательство, возникшее на основании документов-оснований, предусмотренных </w:t>
      </w:r>
      <w:hyperlink w:anchor="P456" w:history="1">
        <w:r>
          <w:rPr>
            <w:rFonts w:ascii="Times New Roman" w:hAnsi="Times New Roman" w:cs="Times New Roman"/>
            <w:sz w:val="28"/>
            <w:szCs w:val="28"/>
          </w:rPr>
          <w:t>пунктами 1</w:t>
        </w:r>
      </w:hyperlink>
      <w:r>
        <w:rPr>
          <w:rFonts w:ascii="Times New Roman" w:hAnsi="Times New Roman" w:cs="Times New Roman"/>
          <w:sz w:val="28"/>
          <w:szCs w:val="28"/>
        </w:rPr>
        <w:t xml:space="preserve"> - </w:t>
      </w:r>
      <w:hyperlink w:anchor="P475" w:history="1">
        <w:r>
          <w:rPr>
            <w:rFonts w:ascii="Times New Roman" w:hAnsi="Times New Roman" w:cs="Times New Roman"/>
            <w:sz w:val="28"/>
            <w:szCs w:val="28"/>
          </w:rPr>
          <w:t>4</w:t>
        </w:r>
      </w:hyperlink>
      <w:r>
        <w:rPr>
          <w:rFonts w:ascii="Times New Roman" w:hAnsi="Times New Roman" w:cs="Times New Roman"/>
          <w:sz w:val="28"/>
          <w:szCs w:val="28"/>
        </w:rPr>
        <w:t xml:space="preserve">, </w:t>
      </w:r>
      <w:hyperlink w:anchor="P504" w:history="1">
        <w:r>
          <w:rPr>
            <w:rFonts w:ascii="Times New Roman" w:hAnsi="Times New Roman" w:cs="Times New Roman"/>
            <w:sz w:val="28"/>
            <w:szCs w:val="28"/>
          </w:rPr>
          <w:t>8</w:t>
        </w:r>
      </w:hyperlink>
      <w:r>
        <w:rPr>
          <w:rFonts w:ascii="Times New Roman" w:hAnsi="Times New Roman" w:cs="Times New Roman"/>
          <w:sz w:val="28"/>
          <w:szCs w:val="28"/>
        </w:rPr>
        <w:t xml:space="preserve">, </w:t>
      </w:r>
      <w:hyperlink w:anchor="P522" w:history="1">
        <w:r>
          <w:rPr>
            <w:rFonts w:ascii="Times New Roman" w:hAnsi="Times New Roman" w:cs="Times New Roman"/>
            <w:sz w:val="28"/>
            <w:szCs w:val="28"/>
          </w:rPr>
          <w:t>9</w:t>
        </w:r>
      </w:hyperlink>
      <w:r>
        <w:rPr>
          <w:rFonts w:ascii="Times New Roman" w:hAnsi="Times New Roman" w:cs="Times New Roman"/>
          <w:sz w:val="28"/>
          <w:szCs w:val="28"/>
        </w:rPr>
        <w:t xml:space="preserve">, </w:t>
      </w:r>
      <w:hyperlink w:anchor="P536" w:history="1">
        <w:r>
          <w:rPr>
            <w:rFonts w:ascii="Times New Roman" w:hAnsi="Times New Roman" w:cs="Times New Roman"/>
            <w:sz w:val="28"/>
            <w:szCs w:val="28"/>
          </w:rPr>
          <w:t>11</w:t>
        </w:r>
      </w:hyperlink>
      <w:r>
        <w:rPr>
          <w:rFonts w:ascii="Times New Roman" w:hAnsi="Times New Roman" w:cs="Times New Roman"/>
          <w:sz w:val="28"/>
          <w:szCs w:val="28"/>
        </w:rPr>
        <w:t xml:space="preserve"> и </w:t>
      </w:r>
      <w:hyperlink w:anchor="P542" w:history="1">
        <w:r>
          <w:rPr>
            <w:rFonts w:ascii="Times New Roman" w:hAnsi="Times New Roman" w:cs="Times New Roman"/>
            <w:sz w:val="28"/>
            <w:szCs w:val="28"/>
          </w:rPr>
          <w:t>12 графы 2</w:t>
        </w:r>
      </w:hyperlink>
      <w:r>
        <w:rPr>
          <w:rFonts w:ascii="Times New Roman" w:hAnsi="Times New Roman" w:cs="Times New Roman"/>
          <w:sz w:val="28"/>
          <w:szCs w:val="28"/>
        </w:rPr>
        <w:t xml:space="preserve"> Перечня, в том числе на сумму не исполненного на конец отчетного финансового года бюджетного обязательства, осуществляется органом, осуществляющим открытие и ведение лицевых счетов, в первый рабочий день текущего финансового года в соответствии с </w:t>
      </w:r>
      <w:hyperlink w:anchor="P64" w:history="1">
        <w:r>
          <w:rPr>
            <w:rFonts w:ascii="Times New Roman" w:hAnsi="Times New Roman" w:cs="Times New Roman"/>
            <w:sz w:val="28"/>
            <w:szCs w:val="28"/>
          </w:rPr>
          <w:t>пунктом 10</w:t>
        </w:r>
      </w:hyperlink>
      <w:r>
        <w:rPr>
          <w:rFonts w:ascii="Times New Roman" w:hAnsi="Times New Roman" w:cs="Times New Roman"/>
          <w:sz w:val="28"/>
          <w:szCs w:val="28"/>
        </w:rPr>
        <w:t xml:space="preserve"> настоящего Порядка.</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Получатель средств бюджета в текущем финансовом году вносит в бюджетное обязательство, указанное в абзаце первом настоящего пункта, изменения в части графика оплаты бюджетного обязательства, а также, при необходимости, в части кодов бюджетной классификации расходов.</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требованиям, предусмотренным </w:t>
      </w:r>
      <w:hyperlink w:anchor="P73" w:history="1">
        <w:r>
          <w:rPr>
            <w:rFonts w:ascii="Times New Roman" w:hAnsi="Times New Roman" w:cs="Times New Roman"/>
            <w:sz w:val="28"/>
            <w:szCs w:val="28"/>
          </w:rPr>
          <w:t>абзацем восьмым пункта 12</w:t>
        </w:r>
      </w:hyperlink>
      <w:r>
        <w:rPr>
          <w:rFonts w:ascii="Times New Roman" w:hAnsi="Times New Roman" w:cs="Times New Roman"/>
          <w:sz w:val="28"/>
          <w:szCs w:val="28"/>
        </w:rPr>
        <w:t xml:space="preserve"> настоящего Порядка, орган, осуществляющий открытие и ведение лицевых счетов, направляет для сведения главному распорядителю средств бюджета, в ведении которого находится получатель средств бюджета, Уведомление о превышении бюджетным обязательством неиспользованных лимитов бюджетных обязательств не позднее следующего рабочего дня после дня совершения операций, предусмотренных настоящим пунктом.</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В случае если по состоянию на первый рабочий день апреля текущего финансового года бюджетное обязательство, указанное в </w:t>
      </w:r>
      <w:hyperlink w:anchor="P97" w:history="1">
        <w:r>
          <w:rPr>
            <w:rFonts w:ascii="Times New Roman" w:hAnsi="Times New Roman" w:cs="Times New Roman"/>
            <w:sz w:val="28"/>
            <w:szCs w:val="28"/>
          </w:rPr>
          <w:t>абзаце первом</w:t>
        </w:r>
      </w:hyperlink>
      <w:r>
        <w:rPr>
          <w:rFonts w:ascii="Times New Roman" w:hAnsi="Times New Roman" w:cs="Times New Roman"/>
          <w:sz w:val="28"/>
          <w:szCs w:val="28"/>
        </w:rPr>
        <w:t xml:space="preserve"> настоящего пункта, превышает неиспользованные лимиты бюджетных обязательств, отраженные на лицевом счете, открытом получателю бюджетных средств, орган, осуществляющий открытие и ведение лицевых счетов, направляет главному распорядителю средств бюджета и получателю средств бюджета Уведомление о превышении бюджетным обязательством неиспользованных лимитов бюджетных обязательств не позднее первого рабочего дня апреля текущего финансового года.</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18. В случае ликвидации, реорганизации получателя средств бюджета либо изменения типа получателя средств 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учтенные бюджетные обязательства получателя средств бюджета в части аннулирования соответствующих неисполненных бюджетных обязательств.</w:t>
      </w:r>
    </w:p>
    <w:p w:rsidR="00786289" w:rsidRDefault="00786289">
      <w:pPr>
        <w:pStyle w:val="ConsPlusNormal"/>
        <w:jc w:val="both"/>
        <w:rPr>
          <w:rFonts w:ascii="Times New Roman" w:hAnsi="Times New Roman" w:cs="Times New Roman"/>
          <w:sz w:val="28"/>
          <w:szCs w:val="28"/>
        </w:rPr>
      </w:pPr>
    </w:p>
    <w:p w:rsidR="00786289" w:rsidRDefault="00786289">
      <w:pPr>
        <w:pStyle w:val="ConsPlusNormal"/>
        <w:jc w:val="center"/>
        <w:outlineLvl w:val="1"/>
        <w:rPr>
          <w:rFonts w:ascii="Times New Roman" w:hAnsi="Times New Roman" w:cs="Times New Roman"/>
          <w:b/>
          <w:bCs/>
          <w:sz w:val="28"/>
          <w:szCs w:val="28"/>
        </w:rPr>
      </w:pPr>
      <w:r>
        <w:rPr>
          <w:rFonts w:ascii="Times New Roman" w:hAnsi="Times New Roman" w:cs="Times New Roman"/>
          <w:b/>
          <w:bCs/>
          <w:sz w:val="28"/>
          <w:szCs w:val="28"/>
        </w:rPr>
        <w:t>III. Особенности учета бюджетных обязательств</w:t>
      </w:r>
    </w:p>
    <w:p w:rsidR="00786289" w:rsidRDefault="00786289">
      <w:pPr>
        <w:pStyle w:val="ConsPlusNormal"/>
        <w:jc w:val="center"/>
        <w:rPr>
          <w:rFonts w:ascii="Times New Roman" w:hAnsi="Times New Roman" w:cs="Times New Roman"/>
          <w:b/>
          <w:bCs/>
          <w:sz w:val="28"/>
          <w:szCs w:val="28"/>
        </w:rPr>
      </w:pPr>
      <w:r>
        <w:rPr>
          <w:rFonts w:ascii="Times New Roman" w:hAnsi="Times New Roman" w:cs="Times New Roman"/>
          <w:b/>
          <w:bCs/>
          <w:sz w:val="28"/>
          <w:szCs w:val="28"/>
        </w:rPr>
        <w:t>по исполнительным документам и решениям налоговых органов</w:t>
      </w:r>
    </w:p>
    <w:p w:rsidR="00786289" w:rsidRDefault="00786289">
      <w:pPr>
        <w:pStyle w:val="ConsPlusNormal"/>
        <w:jc w:val="both"/>
        <w:rPr>
          <w:rFonts w:ascii="Times New Roman" w:hAnsi="Times New Roman" w:cs="Times New Roman"/>
          <w:sz w:val="28"/>
          <w:szCs w:val="28"/>
        </w:rPr>
      </w:pP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19. Сведения о бюджетном обязательстве, возникшем в соответствии с документами-основаниями, предусмотренными </w:t>
      </w:r>
      <w:hyperlink w:anchor="P536" w:history="1">
        <w:r>
          <w:rPr>
            <w:rFonts w:ascii="Times New Roman" w:hAnsi="Times New Roman" w:cs="Times New Roman"/>
            <w:sz w:val="28"/>
            <w:szCs w:val="28"/>
          </w:rPr>
          <w:t>пунктами 11</w:t>
        </w:r>
      </w:hyperlink>
      <w:r>
        <w:rPr>
          <w:rFonts w:ascii="Times New Roman" w:hAnsi="Times New Roman" w:cs="Times New Roman"/>
          <w:sz w:val="28"/>
          <w:szCs w:val="28"/>
        </w:rPr>
        <w:t xml:space="preserve"> и </w:t>
      </w:r>
      <w:hyperlink w:anchor="P542" w:history="1">
        <w:r>
          <w:rPr>
            <w:rFonts w:ascii="Times New Roman" w:hAnsi="Times New Roman" w:cs="Times New Roman"/>
            <w:sz w:val="28"/>
            <w:szCs w:val="28"/>
          </w:rPr>
          <w:t>12 графы 2</w:t>
        </w:r>
      </w:hyperlink>
      <w:r>
        <w:rPr>
          <w:rFonts w:ascii="Times New Roman" w:hAnsi="Times New Roman" w:cs="Times New Roman"/>
          <w:sz w:val="28"/>
          <w:szCs w:val="28"/>
        </w:rPr>
        <w:t xml:space="preserve"> Перечня, формируются в срок, установленный бюджетным законодательством Российской Федерации для представления в установленном порядке получателем средств бюджета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по исполнению исполнительного документа, решения налогового органа.</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20. В случае если в органе, осуществляющем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21.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22. В случае ликвидации получателя средств бюджета либо изменения типа получателя средств 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учтенное бюджетное обязательство, возникшее на основании исполнительного документа, решения налогового органа, в части аннулирования неисполненного бюджетного обязательства.</w:t>
      </w:r>
    </w:p>
    <w:p w:rsidR="00786289" w:rsidRDefault="00786289">
      <w:pPr>
        <w:pStyle w:val="ConsPlusNormal"/>
        <w:jc w:val="both"/>
        <w:rPr>
          <w:rFonts w:ascii="Times New Roman" w:hAnsi="Times New Roman" w:cs="Times New Roman"/>
          <w:sz w:val="28"/>
          <w:szCs w:val="28"/>
        </w:rPr>
      </w:pPr>
    </w:p>
    <w:p w:rsidR="00786289" w:rsidRDefault="00786289">
      <w:pPr>
        <w:pStyle w:val="ConsPlusNormal"/>
        <w:jc w:val="center"/>
        <w:outlineLvl w:val="1"/>
        <w:rPr>
          <w:rFonts w:ascii="Times New Roman" w:hAnsi="Times New Roman" w:cs="Times New Roman"/>
          <w:b/>
          <w:bCs/>
          <w:sz w:val="28"/>
          <w:szCs w:val="28"/>
        </w:rPr>
      </w:pPr>
      <w:r>
        <w:rPr>
          <w:rFonts w:ascii="Times New Roman" w:hAnsi="Times New Roman" w:cs="Times New Roman"/>
          <w:sz w:val="28"/>
          <w:szCs w:val="28"/>
        </w:rPr>
        <w:t>V. Порядок учета денежных обязательств</w:t>
      </w:r>
    </w:p>
    <w:p w:rsidR="00786289" w:rsidRDefault="00786289">
      <w:pPr>
        <w:pStyle w:val="ConsPlusNormal"/>
        <w:jc w:val="both"/>
        <w:rPr>
          <w:rFonts w:ascii="Times New Roman" w:hAnsi="Times New Roman" w:cs="Times New Roman"/>
          <w:sz w:val="28"/>
          <w:szCs w:val="28"/>
        </w:rPr>
      </w:pP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23. Постановка на учет денежного обязательства и внесение изменений в поставленное на учет денежное обязательство осуществляется в соответствии со Сведениями о денежном обязательстве, сформированными на основании документов, предусмотренных в </w:t>
      </w:r>
      <w:hyperlink w:anchor="P451" w:history="1">
        <w:r>
          <w:rPr>
            <w:rFonts w:ascii="Times New Roman" w:hAnsi="Times New Roman" w:cs="Times New Roman"/>
            <w:sz w:val="28"/>
            <w:szCs w:val="28"/>
          </w:rPr>
          <w:t>графе 3</w:t>
        </w:r>
      </w:hyperlink>
      <w:r>
        <w:rPr>
          <w:rFonts w:ascii="Times New Roman" w:hAnsi="Times New Roman" w:cs="Times New Roman"/>
          <w:sz w:val="28"/>
          <w:szCs w:val="28"/>
        </w:rPr>
        <w:t xml:space="preserve"> Перечня, на сумму, указанную в документе, в соответствии с которым возникло денежное обязательство.</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24. Сведения о денежных обязательствах, включая авансовые платежи, предусмотренные условиями муниципального контракта, договора, указанных соответственно в </w:t>
      </w:r>
      <w:hyperlink w:anchor="P462" w:history="1">
        <w:r>
          <w:rPr>
            <w:rFonts w:ascii="Times New Roman" w:hAnsi="Times New Roman" w:cs="Times New Roman"/>
            <w:sz w:val="28"/>
            <w:szCs w:val="28"/>
          </w:rPr>
          <w:t>пунктах 3</w:t>
        </w:r>
      </w:hyperlink>
      <w:r>
        <w:rPr>
          <w:rFonts w:ascii="Times New Roman" w:hAnsi="Times New Roman" w:cs="Times New Roman"/>
          <w:sz w:val="28"/>
          <w:szCs w:val="28"/>
        </w:rPr>
        <w:t xml:space="preserve"> и </w:t>
      </w:r>
      <w:hyperlink w:anchor="P475" w:history="1">
        <w:r>
          <w:rPr>
            <w:rFonts w:ascii="Times New Roman" w:hAnsi="Times New Roman" w:cs="Times New Roman"/>
            <w:sz w:val="28"/>
            <w:szCs w:val="28"/>
          </w:rPr>
          <w:t>4 графы 2</w:t>
        </w:r>
      </w:hyperlink>
      <w:r>
        <w:rPr>
          <w:rFonts w:ascii="Times New Roman" w:hAnsi="Times New Roman" w:cs="Times New Roman"/>
          <w:sz w:val="28"/>
          <w:szCs w:val="28"/>
        </w:rPr>
        <w:t xml:space="preserve"> Перечня, формируются:</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получателем средств бюджета не позднее трех рабочих дней со дня возникновения денежного обязательства в случае:</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исполнения денежного обязательства неоднократно (в том числе с учетом ранее произведенных авансовых платежей);</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подтверждения поставки товаров, выполнения работ, оказания услуг по ранее произведенным авансовым платежам, в том числе по авансовым платежам, произведенным в размере 100 процентов от суммы муниципального контракта (договора), в соответствии с условиями муниципального контракта (договора);</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 оплаты денежных обязательств получателей средств бюджета Курташкинского сельского поселения Атюрьевского муниципального района Республики Мордовия и администраторов источников финансирования дефицита бюджета Курташкинского сельского поселения Атюрьевского муниципального района Республики Мордовия, утвержденного администрацией Курташкинского сельского поселения Атюрьевского муниципального района Республики Мордовия (далее - Порядок санкционирования);</w:t>
      </w:r>
      <w:bookmarkStart w:id="14" w:name="P119"/>
      <w:bookmarkEnd w:id="14"/>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органом, осуществляющим открытие и ведение лицевых счетов, - в случае исполнения денежного обязательства одним платежным документом, сумма которого равна сумме денежного обязательства, подлежащего постановке на учет, на основании информации, содержащейся в представленных получателем средств бюджета в орган, осуществляющий открытие и ведение лицевых счетов, платежных документах для оплаты денежных обязательств, не позднее следующего рабочего дня со дня представления указанных платежных документов.</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25. В случае если в рамках бюджетного обязательства, возникшего по муниципальному контракту (договору) на поставку товара, выполнение работ, оказание услуг, ранее поставлено на учет денежное обязательство по авансовому платежу (с признаком авансового платежа "Да"), поставка товаров, выполнение работ, оказание услуг по которому не подтверждена в соответствии с условиями муниципального контракта (договора), постановка на учет денежного обязательства на перечисление последующих платежей по такому бюджетному обязательству не осуществляется.</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26. Сведения о денежном обязательстве, возникшем на основании документа, подтверждающего возникновение денежного обязательства, информация по которому не подлежит включению в реестр контрактов, указанный в </w:t>
      </w:r>
      <w:hyperlink w:anchor="P462" w:history="1">
        <w:r>
          <w:rPr>
            <w:rFonts w:ascii="Times New Roman" w:hAnsi="Times New Roman" w:cs="Times New Roman"/>
            <w:sz w:val="28"/>
            <w:szCs w:val="28"/>
          </w:rPr>
          <w:t>пункте 3 графы 2</w:t>
        </w:r>
      </w:hyperlink>
      <w:r>
        <w:rPr>
          <w:rFonts w:ascii="Times New Roman" w:hAnsi="Times New Roman" w:cs="Times New Roman"/>
          <w:sz w:val="28"/>
          <w:szCs w:val="28"/>
        </w:rPr>
        <w:t xml:space="preserve"> Перечня, направляются в орган, осуществляющий открытие и ведение лицевых счетов, с приложением копии документа, подтверждающего возникновение денежного обязательства, за исключением Сведений о денежном обязательстве, содержащих сведения, составляющие государственную тайну.</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Сведения о денежном обязательстве направляются с приложением документа, подтверждающего возникновение денежного обязательства,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Требования настоящего пункта не распространяются на документы-основания, представление которых в орган, осуществляющий открытие и ведение лицевых счетов, в соответствии с Порядком санкционирования не требуется.</w:t>
      </w:r>
      <w:bookmarkStart w:id="15" w:name="P124"/>
      <w:bookmarkEnd w:id="15"/>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27. Орган, осуществляющий открытие и ведение лицевых счетов, не позднее следующего рабочего дня со дня представления получателем средств бюджета Сведений о денежном обязательстве осуществляет их проверку на соответствие указанной в них информации:</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информации по соответствующему бюджетному обязательству, учтенному на соответствующем лицевом счете получателя средств бюджета;</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составу информации, подлежащей включению в </w:t>
      </w:r>
      <w:hyperlink w:anchor="P298" w:history="1">
        <w:r>
          <w:rPr>
            <w:rFonts w:ascii="Times New Roman" w:hAnsi="Times New Roman" w:cs="Times New Roman"/>
            <w:sz w:val="28"/>
            <w:szCs w:val="28"/>
          </w:rPr>
          <w:t>Сведения</w:t>
        </w:r>
      </w:hyperlink>
      <w:r>
        <w:rPr>
          <w:rFonts w:ascii="Times New Roman" w:hAnsi="Times New Roman" w:cs="Times New Roman"/>
          <w:sz w:val="28"/>
          <w:szCs w:val="28"/>
        </w:rPr>
        <w:t xml:space="preserve"> о денежном обязательстве в соответствии с приложением № 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 соблюдением правил формирования Сведений о денежном обязательстве, установленных настоящей главой;</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в орган, осуществляющий открытие и ведение лицевых счетов, для постановки на учет денежных обязательств в соответствии с настоящим Порядком или включения в установленном порядке в реестр контрактов, указанный в </w:t>
      </w:r>
      <w:hyperlink w:anchor="P462" w:history="1">
        <w:r>
          <w:rPr>
            <w:rFonts w:ascii="Times New Roman" w:hAnsi="Times New Roman" w:cs="Times New Roman"/>
            <w:sz w:val="28"/>
            <w:szCs w:val="28"/>
          </w:rPr>
          <w:t>пункте 3 графы 2</w:t>
        </w:r>
      </w:hyperlink>
      <w:r>
        <w:rPr>
          <w:rFonts w:ascii="Times New Roman" w:hAnsi="Times New Roman" w:cs="Times New Roman"/>
          <w:sz w:val="28"/>
          <w:szCs w:val="28"/>
        </w:rPr>
        <w:t xml:space="preserve"> Перечня, за исключением документов-оснований, представление которых в орган, осуществляющий открытие и ведение лицевых счетов, в соответствии с Порядком санкционирования не требуется.</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28. В случае представления в орган, осуществляющий открытие и ведение лицевых счетов, Сведений о денежном обязательстве на бумажном носителе в дополнение к проверке, предусмотренной </w:t>
      </w:r>
      <w:hyperlink w:anchor="P124" w:history="1">
        <w:r>
          <w:rPr>
            <w:rFonts w:ascii="Times New Roman" w:hAnsi="Times New Roman" w:cs="Times New Roman"/>
            <w:sz w:val="28"/>
            <w:szCs w:val="28"/>
          </w:rPr>
          <w:t>пунктом 27</w:t>
        </w:r>
      </w:hyperlink>
      <w:r>
        <w:rPr>
          <w:rFonts w:ascii="Times New Roman" w:hAnsi="Times New Roman" w:cs="Times New Roman"/>
          <w:sz w:val="28"/>
          <w:szCs w:val="28"/>
        </w:rPr>
        <w:t xml:space="preserve"> настоящего Порядка, также осуществляется проверка Сведений о денежном обязательстве на:</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соответствие формы Сведений о денежном обязательстве форме </w:t>
      </w:r>
      <w:hyperlink w:anchor="P298" w:history="1">
        <w:r>
          <w:rPr>
            <w:rFonts w:ascii="Times New Roman" w:hAnsi="Times New Roman" w:cs="Times New Roman"/>
            <w:sz w:val="28"/>
            <w:szCs w:val="28"/>
          </w:rPr>
          <w:t>Сведений</w:t>
        </w:r>
      </w:hyperlink>
      <w:r>
        <w:rPr>
          <w:rFonts w:ascii="Times New Roman" w:hAnsi="Times New Roman" w:cs="Times New Roman"/>
          <w:sz w:val="28"/>
          <w:szCs w:val="28"/>
        </w:rPr>
        <w:t xml:space="preserve"> о денежном обязательстве согласно приложению № 2 к настоящему Порядку;</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отсутствие в представленных Сведениях о денежном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29. 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(либо вносит изменения в ранее поставленное на учет денежное обязательство) и не позднее одного рабочего дня со дня указанной проверки Сведений о денежном обязательстве направляет получателю средств бюджета в информационной системе извещение о постановке на учет (изменении) денежного обязательства, содержащее сведения о дате постановки на учет (изменения) денежного обязательства (код формы по </w:t>
      </w:r>
      <w:hyperlink r:id="rId17" w:history="1">
        <w:r>
          <w:rPr>
            <w:rFonts w:ascii="Times New Roman" w:hAnsi="Times New Roman" w:cs="Times New Roman"/>
            <w:sz w:val="28"/>
            <w:szCs w:val="28"/>
          </w:rPr>
          <w:t>ОКУД</w:t>
        </w:r>
      </w:hyperlink>
      <w:r>
        <w:rPr>
          <w:rFonts w:ascii="Times New Roman" w:hAnsi="Times New Roman" w:cs="Times New Roman"/>
          <w:sz w:val="28"/>
          <w:szCs w:val="28"/>
        </w:rPr>
        <w:t xml:space="preserve"> 0506106) (далее - Извещение о денежном обязательстве).</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Извещение о денежном обязательстве направляется получателю средств бюджета органом, осуществляющим открытие и ведение лицевых счетов:</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в информационной системе в форме электронного документа с использованием электронной подписи лица, имеющего право действовать от имени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на бумажном носителе по форме согласно </w:t>
      </w:r>
      <w:hyperlink r:id="rId18" w:history="1">
        <w:r>
          <w:rPr>
            <w:rFonts w:ascii="Times New Roman" w:hAnsi="Times New Roman" w:cs="Times New Roman"/>
            <w:sz w:val="28"/>
            <w:szCs w:val="28"/>
          </w:rPr>
          <w:t>приложению № 12</w:t>
        </w:r>
      </w:hyperlink>
      <w:r>
        <w:rPr>
          <w:rFonts w:ascii="Times New Roman" w:hAnsi="Times New Roman" w:cs="Times New Roman"/>
          <w:sz w:val="28"/>
          <w:szCs w:val="28"/>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9" w:history="1">
        <w:r>
          <w:rPr>
            <w:rFonts w:ascii="Times New Roman" w:hAnsi="Times New Roman" w:cs="Times New Roman"/>
            <w:sz w:val="28"/>
            <w:szCs w:val="28"/>
          </w:rPr>
          <w:t>ОКУД</w:t>
        </w:r>
      </w:hyperlink>
      <w:r>
        <w:rPr>
          <w:rFonts w:ascii="Times New Roman" w:hAnsi="Times New Roman" w:cs="Times New Roman"/>
          <w:sz w:val="28"/>
          <w:szCs w:val="28"/>
        </w:rPr>
        <w:t xml:space="preserve"> 0506106) - в отношении Сведений о денежном обязательстве, представленных на бумажном носителе.</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Извещение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Учетный номер денежного обязательства имеет следующую структуру, состоящую из двадцати двух разрядов:</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с 1 по 19 разряд - учетный номер соответствующего бюджетного обязательства;</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с 20 по 22 разряд - порядковый номер денежного обязательства.</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30.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w:t>
      </w:r>
      <w:hyperlink w:anchor="P124" w:history="1">
        <w:r>
          <w:rPr>
            <w:rFonts w:ascii="Times New Roman" w:hAnsi="Times New Roman" w:cs="Times New Roman"/>
            <w:sz w:val="28"/>
            <w:szCs w:val="28"/>
          </w:rPr>
          <w:t>пункте 27</w:t>
        </w:r>
      </w:hyperlink>
      <w:r>
        <w:rPr>
          <w:rFonts w:ascii="Times New Roman" w:hAnsi="Times New Roman" w:cs="Times New Roman"/>
          <w:sz w:val="28"/>
          <w:szCs w:val="28"/>
        </w:rPr>
        <w:t xml:space="preserve"> настоящего Порядка:</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возвращает получателю средств бюджета представленные на бумажном носителе Сведения о денежном обязательстве с приложением Протокола;</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направляет получателю средств бюджета Протокол в электронном виде, если Сведения о денежном обязательстве представлялись в форме электронного документа.</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В Протоколе указывается причина возврата без исполнения Сведений о денежном обязательстве.</w:t>
      </w:r>
    </w:p>
    <w:p w:rsidR="00786289" w:rsidRDefault="00786289">
      <w:pPr>
        <w:pStyle w:val="ConsPlusNormal"/>
        <w:ind w:firstLine="709"/>
        <w:jc w:val="both"/>
        <w:rPr>
          <w:rFonts w:ascii="Times New Roman" w:hAnsi="Times New Roman" w:cs="Times New Roman"/>
          <w:b/>
          <w:bCs/>
          <w:sz w:val="28"/>
          <w:szCs w:val="28"/>
        </w:rPr>
      </w:pPr>
      <w:r>
        <w:rPr>
          <w:rFonts w:ascii="Times New Roman" w:hAnsi="Times New Roman" w:cs="Times New Roman"/>
          <w:sz w:val="28"/>
          <w:szCs w:val="28"/>
        </w:rPr>
        <w:t xml:space="preserve">31. Неисполненная часть денежного обязательства, принятого на учет в отчетном финансовом году в соответствии с бюджетным обязательством, указанном в </w:t>
      </w:r>
      <w:hyperlink w:anchor="P97" w:history="1">
        <w:r>
          <w:rPr>
            <w:rFonts w:ascii="Times New Roman" w:hAnsi="Times New Roman" w:cs="Times New Roman"/>
            <w:sz w:val="28"/>
            <w:szCs w:val="28"/>
          </w:rPr>
          <w:t>пункте 17</w:t>
        </w:r>
      </w:hyperlink>
      <w:r>
        <w:rPr>
          <w:rFonts w:ascii="Times New Roman" w:hAnsi="Times New Roman" w:cs="Times New Roman"/>
          <w:sz w:val="28"/>
          <w:szCs w:val="28"/>
        </w:rPr>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
    <w:p w:rsidR="00786289" w:rsidRDefault="00786289">
      <w:pPr>
        <w:pStyle w:val="ConsPlusNormal"/>
        <w:jc w:val="center"/>
        <w:outlineLvl w:val="1"/>
        <w:rPr>
          <w:rFonts w:ascii="Times New Roman" w:hAnsi="Times New Roman" w:cs="Times New Roman"/>
          <w:b/>
          <w:bCs/>
          <w:sz w:val="28"/>
          <w:szCs w:val="28"/>
        </w:rPr>
      </w:pPr>
      <w:r>
        <w:rPr>
          <w:rFonts w:ascii="Times New Roman" w:hAnsi="Times New Roman" w:cs="Times New Roman"/>
          <w:b/>
          <w:bCs/>
          <w:sz w:val="28"/>
          <w:szCs w:val="28"/>
        </w:rPr>
        <w:t>VI. Представление информации о бюджетных и денежных</w:t>
      </w:r>
    </w:p>
    <w:p w:rsidR="00786289" w:rsidRDefault="00786289">
      <w:pPr>
        <w:pStyle w:val="ConsPlusNormal"/>
        <w:jc w:val="center"/>
        <w:rPr>
          <w:rFonts w:ascii="Times New Roman" w:hAnsi="Times New Roman" w:cs="Times New Roman"/>
          <w:b/>
          <w:bCs/>
          <w:sz w:val="28"/>
          <w:szCs w:val="28"/>
        </w:rPr>
      </w:pPr>
      <w:r>
        <w:rPr>
          <w:rFonts w:ascii="Times New Roman" w:hAnsi="Times New Roman" w:cs="Times New Roman"/>
          <w:b/>
          <w:bCs/>
          <w:sz w:val="28"/>
          <w:szCs w:val="28"/>
        </w:rPr>
        <w:t>обязательствах, учтенных в органе, осуществляющем открытие</w:t>
      </w:r>
    </w:p>
    <w:p w:rsidR="00786289" w:rsidRDefault="00786289">
      <w:pPr>
        <w:pStyle w:val="ConsPlusNormal"/>
        <w:jc w:val="center"/>
        <w:rPr>
          <w:rFonts w:ascii="Times New Roman" w:hAnsi="Times New Roman" w:cs="Times New Roman"/>
          <w:b/>
          <w:bCs/>
          <w:sz w:val="28"/>
          <w:szCs w:val="28"/>
        </w:rPr>
      </w:pPr>
      <w:r>
        <w:rPr>
          <w:rFonts w:ascii="Times New Roman" w:hAnsi="Times New Roman" w:cs="Times New Roman"/>
          <w:b/>
          <w:bCs/>
          <w:sz w:val="28"/>
          <w:szCs w:val="28"/>
        </w:rPr>
        <w:t>и ведение лицевых счетов</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32. Представление информации о бюджетных и денежных обязательствах осуществляется в соответствии с Порядком учета территориальными органами Федерального казначейства бюджетных и денежных обязательств получателей средств федерального бюджета, установленным Министерством финансов Российской Федерации, с учетом положений пункта 33 настоящего Порядка.</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33. Информация о бюджетных и денежных обязательствах предоставляется по запросам:</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Администрации Курташкинского сельского поселения Атюрьевского муниципального района Республики Мордовия - по всем бюджетным и денежным обязательствам;</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главным распорядителям средств бюджета - в части бюджетных и денежных обязательств подведомственных им получателей средств бюджета;</w:t>
      </w:r>
    </w:p>
    <w:p w:rsidR="00786289" w:rsidRDefault="007862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получателям средств бюджета - в части бюджетных и денежных обязательств соответствующего получателя средств бюджета.</w:t>
      </w:r>
    </w:p>
    <w:p w:rsidR="00786289" w:rsidRDefault="00786289">
      <w:pPr>
        <w:pStyle w:val="ConsPlusNormal"/>
        <w:ind w:firstLine="709"/>
        <w:jc w:val="both"/>
      </w:pPr>
      <w:r>
        <w:rPr>
          <w:rFonts w:ascii="Times New Roman" w:hAnsi="Times New Roman" w:cs="Times New Roman"/>
          <w:sz w:val="28"/>
          <w:szCs w:val="28"/>
        </w:rPr>
        <w:t>Информация о бюджетных и денежных обязательствах, содержащих сведения, составляющие государственную тайну, предоставляется на бумажном носителе с соблюдением требований законодательства Российской Федерации о защите государственной тайну.</w:t>
      </w:r>
    </w:p>
    <w:p w:rsidR="00786289" w:rsidRDefault="00786289">
      <w:pPr>
        <w:pStyle w:val="ConsPlusNormal"/>
        <w:jc w:val="both"/>
      </w:pPr>
    </w:p>
    <w:p w:rsidR="00786289" w:rsidRDefault="00786289">
      <w:pPr>
        <w:pStyle w:val="ConsPlusNormal"/>
        <w:jc w:val="both"/>
        <w:sectPr w:rsidR="00786289">
          <w:pgSz w:w="11906" w:h="16838"/>
          <w:pgMar w:top="1134" w:right="567" w:bottom="1134" w:left="1134" w:header="708" w:footer="708" w:gutter="0"/>
          <w:cols w:space="708"/>
          <w:docGrid w:linePitch="360"/>
        </w:sectPr>
      </w:pPr>
    </w:p>
    <w:p w:rsidR="00786289" w:rsidRDefault="00786289">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t>Приложение№1</w:t>
      </w:r>
    </w:p>
    <w:p w:rsidR="00786289" w:rsidRDefault="00786289">
      <w:pPr>
        <w:pStyle w:val="ConsPlusNormal"/>
        <w:jc w:val="right"/>
        <w:rPr>
          <w:rFonts w:ascii="Times New Roman" w:hAnsi="Times New Roman" w:cs="Times New Roman"/>
          <w:sz w:val="24"/>
          <w:szCs w:val="24"/>
        </w:rPr>
      </w:pPr>
      <w:r>
        <w:rPr>
          <w:rFonts w:ascii="Times New Roman" w:hAnsi="Times New Roman" w:cs="Times New Roman"/>
          <w:sz w:val="24"/>
          <w:szCs w:val="24"/>
        </w:rPr>
        <w:t>к Порядку учета бюджетных</w:t>
      </w:r>
    </w:p>
    <w:p w:rsidR="00786289" w:rsidRDefault="00786289">
      <w:pPr>
        <w:pStyle w:val="ConsPlusNormal"/>
        <w:jc w:val="right"/>
        <w:rPr>
          <w:rFonts w:ascii="Times New Roman" w:hAnsi="Times New Roman" w:cs="Times New Roman"/>
          <w:sz w:val="24"/>
          <w:szCs w:val="24"/>
        </w:rPr>
      </w:pPr>
      <w:r>
        <w:rPr>
          <w:rFonts w:ascii="Times New Roman" w:hAnsi="Times New Roman" w:cs="Times New Roman"/>
          <w:sz w:val="24"/>
          <w:szCs w:val="24"/>
        </w:rPr>
        <w:t>и денежных обязательств получателей средств бюджета</w:t>
      </w:r>
    </w:p>
    <w:p w:rsidR="00786289" w:rsidRDefault="00786289">
      <w:pPr>
        <w:pStyle w:val="ConsPlusNormal"/>
        <w:jc w:val="right"/>
        <w:rPr>
          <w:rFonts w:ascii="Times New Roman" w:hAnsi="Times New Roman" w:cs="Times New Roman"/>
          <w:sz w:val="24"/>
          <w:szCs w:val="24"/>
        </w:rPr>
      </w:pPr>
      <w:r>
        <w:rPr>
          <w:rFonts w:ascii="Times New Roman" w:hAnsi="Times New Roman" w:cs="Times New Roman"/>
          <w:sz w:val="24"/>
          <w:szCs w:val="24"/>
        </w:rPr>
        <w:t>Курташкинского сельского поселения Атюрьевского</w:t>
      </w:r>
    </w:p>
    <w:p w:rsidR="00786289" w:rsidRDefault="00786289">
      <w:pPr>
        <w:pStyle w:val="ConsPlusNormal"/>
        <w:jc w:val="right"/>
        <w:rPr>
          <w:rFonts w:ascii="Times New Roman" w:hAnsi="Times New Roman" w:cs="Times New Roman"/>
          <w:sz w:val="24"/>
          <w:szCs w:val="24"/>
        </w:rPr>
      </w:pPr>
      <w:r>
        <w:rPr>
          <w:rFonts w:ascii="Times New Roman" w:hAnsi="Times New Roman" w:cs="Times New Roman"/>
          <w:sz w:val="24"/>
          <w:szCs w:val="24"/>
        </w:rPr>
        <w:t>муниципального района Республики Мордовия</w:t>
      </w:r>
    </w:p>
    <w:p w:rsidR="00786289" w:rsidRDefault="00786289">
      <w:pPr>
        <w:pStyle w:val="ConsPlusNormal"/>
        <w:jc w:val="right"/>
        <w:rPr>
          <w:rFonts w:ascii="Times New Roman" w:hAnsi="Times New Roman" w:cs="Times New Roman"/>
          <w:sz w:val="24"/>
          <w:szCs w:val="24"/>
        </w:rPr>
      </w:pPr>
      <w:r>
        <w:rPr>
          <w:rFonts w:ascii="Times New Roman" w:hAnsi="Times New Roman" w:cs="Times New Roman"/>
          <w:sz w:val="24"/>
          <w:szCs w:val="24"/>
        </w:rPr>
        <w:t>от «____» ______________2018 г. №_______</w:t>
      </w:r>
    </w:p>
    <w:p w:rsidR="00786289" w:rsidRDefault="00786289">
      <w:pPr>
        <w:pStyle w:val="ConsPlusNonformat"/>
        <w:jc w:val="both"/>
      </w:pPr>
      <w:bookmarkStart w:id="16" w:name="P168"/>
      <w:bookmarkEnd w:id="16"/>
      <w:r>
        <w:t xml:space="preserve">                            СВЕДЕНИЯ N _______</w:t>
      </w:r>
    </w:p>
    <w:p w:rsidR="00786289" w:rsidRDefault="00786289">
      <w:pPr>
        <w:pStyle w:val="ConsPlusNonformat"/>
        <w:jc w:val="both"/>
      </w:pPr>
      <w:r>
        <w:t xml:space="preserve">                         о бюджетном обязательстве</w:t>
      </w:r>
    </w:p>
    <w:p w:rsidR="00786289" w:rsidRDefault="00786289">
      <w:pPr>
        <w:pStyle w:val="ConsPlusNonformat"/>
        <w:jc w:val="both"/>
      </w:pPr>
      <w:r>
        <w:t xml:space="preserve">                      от "__" _______________ 20__ г.</w:t>
      </w:r>
    </w:p>
    <w:p w:rsidR="00786289" w:rsidRDefault="00786289">
      <w:pPr>
        <w:pStyle w:val="ConsPlusNonformat"/>
        <w:jc w:val="both"/>
      </w:pPr>
      <w:r>
        <w:t xml:space="preserve">                                                                                                                ┌───────┐</w:t>
      </w:r>
    </w:p>
    <w:p w:rsidR="00786289" w:rsidRDefault="00786289">
      <w:pPr>
        <w:pStyle w:val="ConsPlusNonformat"/>
        <w:jc w:val="both"/>
      </w:pPr>
      <w:r>
        <w:t xml:space="preserve">                                                                                                                │ Коды  │</w:t>
      </w:r>
    </w:p>
    <w:p w:rsidR="00786289" w:rsidRDefault="00786289">
      <w:pPr>
        <w:pStyle w:val="ConsPlusNonformat"/>
        <w:jc w:val="both"/>
      </w:pPr>
      <w:r>
        <w:t xml:space="preserve">                                                                                                                ├───────┤</w:t>
      </w:r>
    </w:p>
    <w:p w:rsidR="00786289" w:rsidRDefault="00786289">
      <w:pPr>
        <w:pStyle w:val="ConsPlusNonformat"/>
        <w:jc w:val="both"/>
      </w:pPr>
      <w:r>
        <w:t xml:space="preserve">                                                                                                  Форма по </w:t>
      </w:r>
      <w:hyperlink r:id="rId20" w:history="1">
        <w:r>
          <w:t>ОКУД</w:t>
        </w:r>
      </w:hyperlink>
      <w:r>
        <w:t xml:space="preserve"> │0506101│</w:t>
      </w:r>
    </w:p>
    <w:p w:rsidR="00786289" w:rsidRDefault="00786289">
      <w:pPr>
        <w:pStyle w:val="ConsPlusNonformat"/>
        <w:jc w:val="both"/>
      </w:pPr>
      <w:r>
        <w:t xml:space="preserve">                                                                                                                ├───────┤</w:t>
      </w:r>
    </w:p>
    <w:p w:rsidR="00786289" w:rsidRDefault="00786289">
      <w:pPr>
        <w:pStyle w:val="ConsPlusNonformat"/>
        <w:jc w:val="both"/>
      </w:pPr>
      <w:r>
        <w:t xml:space="preserve">                                                                                                           Дата │       │</w:t>
      </w:r>
    </w:p>
    <w:p w:rsidR="00786289" w:rsidRDefault="00786289">
      <w:pPr>
        <w:pStyle w:val="ConsPlusNonformat"/>
        <w:jc w:val="both"/>
      </w:pPr>
      <w:r>
        <w:t xml:space="preserve">                                                                                                                ├───────┤</w:t>
      </w:r>
    </w:p>
    <w:p w:rsidR="00786289" w:rsidRDefault="00786289">
      <w:pPr>
        <w:pStyle w:val="ConsPlusNonformat"/>
        <w:jc w:val="both"/>
      </w:pPr>
      <w:r>
        <w:t xml:space="preserve">                                                                                   Тип бюджетного обязательства │       │</w:t>
      </w:r>
    </w:p>
    <w:p w:rsidR="00786289" w:rsidRDefault="00786289">
      <w:pPr>
        <w:pStyle w:val="ConsPlusNonformat"/>
        <w:jc w:val="both"/>
      </w:pPr>
      <w:r>
        <w:t xml:space="preserve">                                                                                                                ├───────┤</w:t>
      </w:r>
    </w:p>
    <w:p w:rsidR="00786289" w:rsidRDefault="00786289">
      <w:pPr>
        <w:pStyle w:val="ConsPlusNonformat"/>
        <w:jc w:val="both"/>
      </w:pPr>
      <w:r>
        <w:t xml:space="preserve">                                                                                                        по ОКПО │       │</w:t>
      </w:r>
    </w:p>
    <w:p w:rsidR="00786289" w:rsidRDefault="00786289">
      <w:pPr>
        <w:pStyle w:val="ConsPlusNonformat"/>
        <w:jc w:val="both"/>
      </w:pPr>
      <w:r>
        <w:t>Получатель                                                                                                      ├───────┤</w:t>
      </w:r>
    </w:p>
    <w:p w:rsidR="00786289" w:rsidRDefault="00786289">
      <w:pPr>
        <w:pStyle w:val="ConsPlusNonformat"/>
        <w:jc w:val="both"/>
      </w:pPr>
      <w:r>
        <w:t>бюджетных средств  ______________________                                                   по Сводному реестру │       │</w:t>
      </w:r>
    </w:p>
    <w:p w:rsidR="00786289" w:rsidRDefault="00786289">
      <w:pPr>
        <w:pStyle w:val="ConsPlusNonformat"/>
        <w:jc w:val="both"/>
      </w:pPr>
      <w:r>
        <w:t xml:space="preserve">                   ______________________                                                                       ├───────┤</w:t>
      </w:r>
    </w:p>
    <w:p w:rsidR="00786289" w:rsidRDefault="00786289">
      <w:pPr>
        <w:pStyle w:val="ConsPlusNonformat"/>
        <w:jc w:val="both"/>
      </w:pPr>
      <w:r>
        <w:t xml:space="preserve">                                                                                           Номер лицевого счета │       │</w:t>
      </w:r>
    </w:p>
    <w:p w:rsidR="00786289" w:rsidRDefault="00786289">
      <w:pPr>
        <w:pStyle w:val="ConsPlusNonformat"/>
        <w:jc w:val="both"/>
      </w:pPr>
      <w:r>
        <w:t>Финансовый орган   ______________________                                                                       ├───────┤</w:t>
      </w:r>
    </w:p>
    <w:p w:rsidR="00786289" w:rsidRDefault="00786289">
      <w:pPr>
        <w:pStyle w:val="ConsPlusNonformat"/>
        <w:jc w:val="both"/>
      </w:pPr>
      <w:r>
        <w:t xml:space="preserve">                                                                                                        по ОКПО │       │</w:t>
      </w:r>
    </w:p>
    <w:p w:rsidR="00786289" w:rsidRDefault="00786289">
      <w:pPr>
        <w:pStyle w:val="ConsPlusNonformat"/>
        <w:jc w:val="both"/>
      </w:pPr>
      <w:r>
        <w:t>Единица измерения руб.                                                                                          ├───────┤</w:t>
      </w:r>
    </w:p>
    <w:p w:rsidR="00786289" w:rsidRDefault="00786289">
      <w:pPr>
        <w:pStyle w:val="ConsPlusNonformat"/>
        <w:jc w:val="both"/>
      </w:pPr>
      <w:r>
        <w:t xml:space="preserve">(с точностью до второго десятичного знака)                                                              по </w:t>
      </w:r>
      <w:hyperlink r:id="rId21" w:history="1">
        <w:r>
          <w:t>ОКЕИ</w:t>
        </w:r>
      </w:hyperlink>
      <w:r>
        <w:t xml:space="preserve"> │  383  │</w:t>
      </w:r>
    </w:p>
    <w:p w:rsidR="00786289" w:rsidRDefault="00786289">
      <w:pPr>
        <w:pStyle w:val="ConsPlusNonformat"/>
        <w:jc w:val="both"/>
      </w:pPr>
      <w:r>
        <w:t xml:space="preserve">                                                                                                                └───────┘</w:t>
      </w:r>
    </w:p>
    <w:p w:rsidR="00786289" w:rsidRDefault="00786289">
      <w:pPr>
        <w:pStyle w:val="ConsPlusNormal"/>
        <w:jc w:val="center"/>
        <w:outlineLvl w:val="2"/>
        <w:rPr>
          <w:rFonts w:ascii="Times New Roman" w:hAnsi="Times New Roman" w:cs="Times New Roman"/>
          <w:sz w:val="24"/>
          <w:szCs w:val="24"/>
        </w:rPr>
      </w:pPr>
      <w:r>
        <w:rPr>
          <w:rFonts w:ascii="Times New Roman" w:hAnsi="Times New Roman" w:cs="Times New Roman"/>
          <w:sz w:val="24"/>
          <w:szCs w:val="24"/>
        </w:rPr>
        <w:t>Раздел 1. Реквизиты документа-основания для постановки</w:t>
      </w:r>
    </w:p>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на учет бюджетного обязательства (для внесения изменений</w:t>
      </w:r>
    </w:p>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в поставленное на учет бюджетное обязательство)</w:t>
      </w:r>
    </w:p>
    <w:p w:rsidR="00786289" w:rsidRDefault="00786289">
      <w:pPr>
        <w:pStyle w:val="ConsPlusNormal"/>
        <w:jc w:val="both"/>
        <w:rPr>
          <w:rFonts w:ascii="Times New Roman" w:hAnsi="Times New Roman" w:cs="Times New Roman"/>
          <w:sz w:val="24"/>
          <w:szCs w:val="24"/>
        </w:rPr>
      </w:pPr>
    </w:p>
    <w:tbl>
      <w:tblPr>
        <w:tblW w:w="15300" w:type="dxa"/>
        <w:tblInd w:w="-60"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99"/>
        <w:gridCol w:w="1301"/>
        <w:gridCol w:w="754"/>
        <w:gridCol w:w="559"/>
        <w:gridCol w:w="899"/>
        <w:gridCol w:w="1260"/>
        <w:gridCol w:w="1620"/>
        <w:gridCol w:w="900"/>
        <w:gridCol w:w="668"/>
        <w:gridCol w:w="1061"/>
        <w:gridCol w:w="994"/>
        <w:gridCol w:w="1264"/>
        <w:gridCol w:w="1142"/>
        <w:gridCol w:w="767"/>
        <w:gridCol w:w="1612"/>
      </w:tblGrid>
      <w:tr w:rsidR="00786289">
        <w:trPr>
          <w:cantSplit/>
        </w:trPr>
        <w:tc>
          <w:tcPr>
            <w:tcW w:w="3113" w:type="dxa"/>
            <w:gridSpan w:val="4"/>
            <w:tcBorders>
              <w:left w:val="nil"/>
            </w:tcBorders>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Документ-основание</w:t>
            </w:r>
          </w:p>
        </w:tc>
        <w:tc>
          <w:tcPr>
            <w:tcW w:w="899" w:type="dxa"/>
            <w:vMerge w:val="restart"/>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Предмет по документу-основанию</w:t>
            </w:r>
          </w:p>
        </w:tc>
        <w:tc>
          <w:tcPr>
            <w:tcW w:w="1260" w:type="dxa"/>
            <w:vMerge w:val="restart"/>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Учетный номер бюджетного обязательства</w:t>
            </w:r>
          </w:p>
        </w:tc>
        <w:tc>
          <w:tcPr>
            <w:tcW w:w="1620" w:type="dxa"/>
            <w:vMerge w:val="restart"/>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Уникальный номер реестровой записи в реестре контрактов/реестре соглашений</w:t>
            </w:r>
          </w:p>
        </w:tc>
        <w:tc>
          <w:tcPr>
            <w:tcW w:w="900" w:type="dxa"/>
            <w:vMerge w:val="restart"/>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Сумма в валюте обязательства</w:t>
            </w:r>
          </w:p>
        </w:tc>
        <w:tc>
          <w:tcPr>
            <w:tcW w:w="668" w:type="dxa"/>
            <w:vMerge w:val="restart"/>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Код валюты по </w:t>
            </w:r>
            <w:hyperlink r:id="rId22" w:history="1">
              <w:r>
                <w:rPr>
                  <w:rFonts w:ascii="Times New Roman" w:hAnsi="Times New Roman" w:cs="Times New Roman"/>
                  <w:sz w:val="24"/>
                  <w:szCs w:val="24"/>
                </w:rPr>
                <w:t>ОКВ</w:t>
              </w:r>
            </w:hyperlink>
          </w:p>
        </w:tc>
        <w:tc>
          <w:tcPr>
            <w:tcW w:w="1061" w:type="dxa"/>
            <w:vMerge w:val="restart"/>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Сумма в валюте Российской Федерации</w:t>
            </w:r>
          </w:p>
        </w:tc>
        <w:tc>
          <w:tcPr>
            <w:tcW w:w="2258" w:type="dxa"/>
            <w:gridSpan w:val="2"/>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Авансовый платеж</w:t>
            </w:r>
          </w:p>
        </w:tc>
        <w:tc>
          <w:tcPr>
            <w:tcW w:w="1909" w:type="dxa"/>
            <w:gridSpan w:val="2"/>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Уведомление о поступлении исполнительного документа/решения налогового органа</w:t>
            </w:r>
          </w:p>
        </w:tc>
        <w:tc>
          <w:tcPr>
            <w:tcW w:w="1612" w:type="dxa"/>
            <w:vMerge w:val="restart"/>
            <w:tcBorders>
              <w:right w:val="nil"/>
            </w:tcBorders>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Основание для заключения договора (государственного контракта) в реестр контрактов</w:t>
            </w:r>
          </w:p>
        </w:tc>
      </w:tr>
      <w:tr w:rsidR="00786289">
        <w:trPr>
          <w:cantSplit/>
        </w:trPr>
        <w:tc>
          <w:tcPr>
            <w:tcW w:w="499" w:type="dxa"/>
            <w:tcBorders>
              <w:left w:val="nil"/>
            </w:tcBorders>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вид</w:t>
            </w:r>
          </w:p>
        </w:tc>
        <w:tc>
          <w:tcPr>
            <w:tcW w:w="1301" w:type="dxa"/>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наименование</w:t>
            </w:r>
          </w:p>
        </w:tc>
        <w:tc>
          <w:tcPr>
            <w:tcW w:w="754" w:type="dxa"/>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номер</w:t>
            </w:r>
          </w:p>
        </w:tc>
        <w:tc>
          <w:tcPr>
            <w:tcW w:w="559" w:type="dxa"/>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дата</w:t>
            </w:r>
          </w:p>
        </w:tc>
        <w:tc>
          <w:tcPr>
            <w:tcW w:w="899" w:type="dxa"/>
            <w:vMerge/>
          </w:tcPr>
          <w:p w:rsidR="00786289" w:rsidRDefault="00786289">
            <w:pPr>
              <w:rPr>
                <w:rFonts w:ascii="Times New Roman" w:hAnsi="Times New Roman" w:cs="Times New Roman"/>
                <w:sz w:val="24"/>
                <w:szCs w:val="24"/>
              </w:rPr>
            </w:pPr>
          </w:p>
        </w:tc>
        <w:tc>
          <w:tcPr>
            <w:tcW w:w="1260" w:type="dxa"/>
            <w:vMerge/>
          </w:tcPr>
          <w:p w:rsidR="00786289" w:rsidRDefault="00786289">
            <w:pPr>
              <w:rPr>
                <w:rFonts w:ascii="Times New Roman" w:hAnsi="Times New Roman" w:cs="Times New Roman"/>
                <w:sz w:val="24"/>
                <w:szCs w:val="24"/>
              </w:rPr>
            </w:pPr>
          </w:p>
        </w:tc>
        <w:tc>
          <w:tcPr>
            <w:tcW w:w="1620" w:type="dxa"/>
            <w:vMerge/>
          </w:tcPr>
          <w:p w:rsidR="00786289" w:rsidRDefault="00786289">
            <w:pPr>
              <w:rPr>
                <w:rFonts w:ascii="Times New Roman" w:hAnsi="Times New Roman" w:cs="Times New Roman"/>
                <w:sz w:val="24"/>
                <w:szCs w:val="24"/>
              </w:rPr>
            </w:pPr>
          </w:p>
        </w:tc>
        <w:tc>
          <w:tcPr>
            <w:tcW w:w="900" w:type="dxa"/>
            <w:vMerge/>
          </w:tcPr>
          <w:p w:rsidR="00786289" w:rsidRDefault="00786289">
            <w:pPr>
              <w:rPr>
                <w:rFonts w:ascii="Times New Roman" w:hAnsi="Times New Roman" w:cs="Times New Roman"/>
                <w:sz w:val="24"/>
                <w:szCs w:val="24"/>
              </w:rPr>
            </w:pPr>
          </w:p>
        </w:tc>
        <w:tc>
          <w:tcPr>
            <w:tcW w:w="668" w:type="dxa"/>
            <w:vMerge/>
          </w:tcPr>
          <w:p w:rsidR="00786289" w:rsidRDefault="00786289">
            <w:pPr>
              <w:rPr>
                <w:rFonts w:ascii="Times New Roman" w:hAnsi="Times New Roman" w:cs="Times New Roman"/>
                <w:sz w:val="24"/>
                <w:szCs w:val="24"/>
              </w:rPr>
            </w:pPr>
          </w:p>
        </w:tc>
        <w:tc>
          <w:tcPr>
            <w:tcW w:w="1061" w:type="dxa"/>
            <w:vMerge/>
          </w:tcPr>
          <w:p w:rsidR="00786289" w:rsidRDefault="00786289">
            <w:pPr>
              <w:rPr>
                <w:rFonts w:ascii="Times New Roman" w:hAnsi="Times New Roman" w:cs="Times New Roman"/>
                <w:sz w:val="24"/>
                <w:szCs w:val="24"/>
              </w:rPr>
            </w:pPr>
          </w:p>
        </w:tc>
        <w:tc>
          <w:tcPr>
            <w:tcW w:w="994" w:type="dxa"/>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процент от общей суммы авансового платежа</w:t>
            </w:r>
          </w:p>
        </w:tc>
        <w:tc>
          <w:tcPr>
            <w:tcW w:w="1264" w:type="dxa"/>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сумма авансового платежа</w:t>
            </w:r>
          </w:p>
        </w:tc>
        <w:tc>
          <w:tcPr>
            <w:tcW w:w="1142" w:type="dxa"/>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номер</w:t>
            </w:r>
          </w:p>
        </w:tc>
        <w:tc>
          <w:tcPr>
            <w:tcW w:w="767" w:type="dxa"/>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дата</w:t>
            </w:r>
          </w:p>
        </w:tc>
        <w:tc>
          <w:tcPr>
            <w:tcW w:w="1612" w:type="dxa"/>
            <w:vMerge/>
            <w:tcBorders>
              <w:right w:val="nil"/>
            </w:tcBorders>
          </w:tcPr>
          <w:p w:rsidR="00786289" w:rsidRDefault="00786289">
            <w:pPr>
              <w:rPr>
                <w:rFonts w:ascii="Times New Roman" w:hAnsi="Times New Roman" w:cs="Times New Roman"/>
                <w:sz w:val="24"/>
                <w:szCs w:val="24"/>
              </w:rPr>
            </w:pPr>
          </w:p>
        </w:tc>
      </w:tr>
      <w:tr w:rsidR="00786289">
        <w:tc>
          <w:tcPr>
            <w:tcW w:w="499" w:type="dxa"/>
            <w:tcBorders>
              <w:left w:val="nil"/>
            </w:tcBorders>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1</w:t>
            </w:r>
          </w:p>
        </w:tc>
        <w:tc>
          <w:tcPr>
            <w:tcW w:w="1301" w:type="dxa"/>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2</w:t>
            </w:r>
          </w:p>
        </w:tc>
        <w:tc>
          <w:tcPr>
            <w:tcW w:w="754" w:type="dxa"/>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3</w:t>
            </w:r>
          </w:p>
        </w:tc>
        <w:tc>
          <w:tcPr>
            <w:tcW w:w="559" w:type="dxa"/>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4</w:t>
            </w:r>
          </w:p>
        </w:tc>
        <w:tc>
          <w:tcPr>
            <w:tcW w:w="899" w:type="dxa"/>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5</w:t>
            </w:r>
          </w:p>
        </w:tc>
        <w:tc>
          <w:tcPr>
            <w:tcW w:w="1260" w:type="dxa"/>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6</w:t>
            </w:r>
          </w:p>
        </w:tc>
        <w:tc>
          <w:tcPr>
            <w:tcW w:w="1620" w:type="dxa"/>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7</w:t>
            </w:r>
          </w:p>
        </w:tc>
        <w:tc>
          <w:tcPr>
            <w:tcW w:w="900" w:type="dxa"/>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8</w:t>
            </w:r>
          </w:p>
        </w:tc>
        <w:tc>
          <w:tcPr>
            <w:tcW w:w="668" w:type="dxa"/>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9</w:t>
            </w:r>
          </w:p>
        </w:tc>
        <w:tc>
          <w:tcPr>
            <w:tcW w:w="1061" w:type="dxa"/>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10</w:t>
            </w:r>
          </w:p>
        </w:tc>
        <w:tc>
          <w:tcPr>
            <w:tcW w:w="994" w:type="dxa"/>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11</w:t>
            </w:r>
          </w:p>
        </w:tc>
        <w:tc>
          <w:tcPr>
            <w:tcW w:w="1264" w:type="dxa"/>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12</w:t>
            </w:r>
          </w:p>
        </w:tc>
        <w:tc>
          <w:tcPr>
            <w:tcW w:w="1142" w:type="dxa"/>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13</w:t>
            </w:r>
          </w:p>
        </w:tc>
        <w:tc>
          <w:tcPr>
            <w:tcW w:w="767" w:type="dxa"/>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14</w:t>
            </w:r>
          </w:p>
        </w:tc>
        <w:tc>
          <w:tcPr>
            <w:tcW w:w="1612" w:type="dxa"/>
            <w:tcBorders>
              <w:right w:val="nil"/>
            </w:tcBorders>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15</w:t>
            </w:r>
          </w:p>
        </w:tc>
      </w:tr>
      <w:tr w:rsidR="00786289">
        <w:tc>
          <w:tcPr>
            <w:tcW w:w="499" w:type="dxa"/>
            <w:tcBorders>
              <w:left w:val="nil"/>
            </w:tcBorders>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1</w:t>
            </w:r>
          </w:p>
        </w:tc>
        <w:tc>
          <w:tcPr>
            <w:tcW w:w="1301" w:type="dxa"/>
          </w:tcPr>
          <w:p w:rsidR="00786289" w:rsidRDefault="00786289">
            <w:pPr>
              <w:pStyle w:val="ConsPlusNormal"/>
              <w:rPr>
                <w:rFonts w:ascii="Times New Roman" w:hAnsi="Times New Roman" w:cs="Times New Roman"/>
                <w:sz w:val="24"/>
                <w:szCs w:val="24"/>
              </w:rPr>
            </w:pPr>
          </w:p>
        </w:tc>
        <w:tc>
          <w:tcPr>
            <w:tcW w:w="754" w:type="dxa"/>
          </w:tcPr>
          <w:p w:rsidR="00786289" w:rsidRDefault="00786289">
            <w:pPr>
              <w:pStyle w:val="ConsPlusNormal"/>
              <w:rPr>
                <w:rFonts w:ascii="Times New Roman" w:hAnsi="Times New Roman" w:cs="Times New Roman"/>
                <w:sz w:val="24"/>
                <w:szCs w:val="24"/>
              </w:rPr>
            </w:pPr>
          </w:p>
        </w:tc>
        <w:tc>
          <w:tcPr>
            <w:tcW w:w="559" w:type="dxa"/>
          </w:tcPr>
          <w:p w:rsidR="00786289" w:rsidRDefault="00786289">
            <w:pPr>
              <w:pStyle w:val="ConsPlusNormal"/>
              <w:rPr>
                <w:rFonts w:ascii="Times New Roman" w:hAnsi="Times New Roman" w:cs="Times New Roman"/>
                <w:sz w:val="24"/>
                <w:szCs w:val="24"/>
              </w:rPr>
            </w:pPr>
          </w:p>
        </w:tc>
        <w:tc>
          <w:tcPr>
            <w:tcW w:w="899" w:type="dxa"/>
          </w:tcPr>
          <w:p w:rsidR="00786289" w:rsidRDefault="00786289">
            <w:pPr>
              <w:pStyle w:val="ConsPlusNormal"/>
              <w:rPr>
                <w:rFonts w:ascii="Times New Roman" w:hAnsi="Times New Roman" w:cs="Times New Roman"/>
                <w:sz w:val="24"/>
                <w:szCs w:val="24"/>
              </w:rPr>
            </w:pPr>
          </w:p>
        </w:tc>
        <w:tc>
          <w:tcPr>
            <w:tcW w:w="1260" w:type="dxa"/>
          </w:tcPr>
          <w:p w:rsidR="00786289" w:rsidRDefault="00786289">
            <w:pPr>
              <w:pStyle w:val="ConsPlusNormal"/>
              <w:rPr>
                <w:rFonts w:ascii="Times New Roman" w:hAnsi="Times New Roman" w:cs="Times New Roman"/>
                <w:sz w:val="24"/>
                <w:szCs w:val="24"/>
              </w:rPr>
            </w:pPr>
          </w:p>
        </w:tc>
        <w:tc>
          <w:tcPr>
            <w:tcW w:w="1620" w:type="dxa"/>
          </w:tcPr>
          <w:p w:rsidR="00786289" w:rsidRDefault="00786289">
            <w:pPr>
              <w:pStyle w:val="ConsPlusNormal"/>
              <w:rPr>
                <w:rFonts w:ascii="Times New Roman" w:hAnsi="Times New Roman" w:cs="Times New Roman"/>
                <w:sz w:val="24"/>
                <w:szCs w:val="24"/>
              </w:rPr>
            </w:pPr>
          </w:p>
        </w:tc>
        <w:tc>
          <w:tcPr>
            <w:tcW w:w="900" w:type="dxa"/>
          </w:tcPr>
          <w:p w:rsidR="00786289" w:rsidRDefault="00786289">
            <w:pPr>
              <w:pStyle w:val="ConsPlusNormal"/>
              <w:rPr>
                <w:rFonts w:ascii="Times New Roman" w:hAnsi="Times New Roman" w:cs="Times New Roman"/>
                <w:sz w:val="24"/>
                <w:szCs w:val="24"/>
              </w:rPr>
            </w:pPr>
          </w:p>
        </w:tc>
        <w:tc>
          <w:tcPr>
            <w:tcW w:w="668" w:type="dxa"/>
          </w:tcPr>
          <w:p w:rsidR="00786289" w:rsidRDefault="00786289">
            <w:pPr>
              <w:pStyle w:val="ConsPlusNormal"/>
              <w:rPr>
                <w:rFonts w:ascii="Times New Roman" w:hAnsi="Times New Roman" w:cs="Times New Roman"/>
                <w:sz w:val="24"/>
                <w:szCs w:val="24"/>
              </w:rPr>
            </w:pPr>
          </w:p>
        </w:tc>
        <w:tc>
          <w:tcPr>
            <w:tcW w:w="1061" w:type="dxa"/>
          </w:tcPr>
          <w:p w:rsidR="00786289" w:rsidRDefault="00786289">
            <w:pPr>
              <w:pStyle w:val="ConsPlusNormal"/>
              <w:rPr>
                <w:rFonts w:ascii="Times New Roman" w:hAnsi="Times New Roman" w:cs="Times New Roman"/>
                <w:sz w:val="24"/>
                <w:szCs w:val="24"/>
              </w:rPr>
            </w:pPr>
          </w:p>
        </w:tc>
        <w:tc>
          <w:tcPr>
            <w:tcW w:w="994" w:type="dxa"/>
          </w:tcPr>
          <w:p w:rsidR="00786289" w:rsidRDefault="00786289">
            <w:pPr>
              <w:pStyle w:val="ConsPlusNormal"/>
              <w:rPr>
                <w:rFonts w:ascii="Times New Roman" w:hAnsi="Times New Roman" w:cs="Times New Roman"/>
                <w:sz w:val="24"/>
                <w:szCs w:val="24"/>
              </w:rPr>
            </w:pPr>
          </w:p>
        </w:tc>
        <w:tc>
          <w:tcPr>
            <w:tcW w:w="1264" w:type="dxa"/>
          </w:tcPr>
          <w:p w:rsidR="00786289" w:rsidRDefault="00786289">
            <w:pPr>
              <w:pStyle w:val="ConsPlusNormal"/>
              <w:rPr>
                <w:rFonts w:ascii="Times New Roman" w:hAnsi="Times New Roman" w:cs="Times New Roman"/>
                <w:sz w:val="24"/>
                <w:szCs w:val="24"/>
              </w:rPr>
            </w:pPr>
          </w:p>
        </w:tc>
        <w:tc>
          <w:tcPr>
            <w:tcW w:w="1142" w:type="dxa"/>
          </w:tcPr>
          <w:p w:rsidR="00786289" w:rsidRDefault="00786289">
            <w:pPr>
              <w:pStyle w:val="ConsPlusNormal"/>
              <w:rPr>
                <w:rFonts w:ascii="Times New Roman" w:hAnsi="Times New Roman" w:cs="Times New Roman"/>
                <w:sz w:val="24"/>
                <w:szCs w:val="24"/>
              </w:rPr>
            </w:pPr>
          </w:p>
        </w:tc>
        <w:tc>
          <w:tcPr>
            <w:tcW w:w="767" w:type="dxa"/>
          </w:tcPr>
          <w:p w:rsidR="00786289" w:rsidRDefault="00786289">
            <w:pPr>
              <w:pStyle w:val="ConsPlusNormal"/>
              <w:rPr>
                <w:rFonts w:ascii="Times New Roman" w:hAnsi="Times New Roman" w:cs="Times New Roman"/>
                <w:sz w:val="24"/>
                <w:szCs w:val="24"/>
              </w:rPr>
            </w:pPr>
          </w:p>
        </w:tc>
        <w:tc>
          <w:tcPr>
            <w:tcW w:w="1612" w:type="dxa"/>
            <w:tcBorders>
              <w:right w:val="nil"/>
            </w:tcBorders>
          </w:tcPr>
          <w:p w:rsidR="00786289" w:rsidRDefault="00786289">
            <w:pPr>
              <w:pStyle w:val="ConsPlusNormal"/>
              <w:rPr>
                <w:rFonts w:ascii="Times New Roman" w:hAnsi="Times New Roman" w:cs="Times New Roman"/>
                <w:sz w:val="24"/>
                <w:szCs w:val="24"/>
              </w:rPr>
            </w:pPr>
          </w:p>
        </w:tc>
      </w:tr>
    </w:tbl>
    <w:p w:rsidR="00786289" w:rsidRDefault="00786289">
      <w:pPr>
        <w:pStyle w:val="ConsPlusNormal"/>
        <w:jc w:val="both"/>
        <w:rPr>
          <w:rFonts w:ascii="Times New Roman" w:hAnsi="Times New Roman" w:cs="Times New Roman"/>
          <w:sz w:val="24"/>
          <w:szCs w:val="24"/>
        </w:rPr>
      </w:pPr>
    </w:p>
    <w:p w:rsidR="00786289" w:rsidRDefault="00786289">
      <w:pPr>
        <w:pStyle w:val="ConsPlusNormal"/>
        <w:jc w:val="center"/>
        <w:outlineLvl w:val="2"/>
        <w:rPr>
          <w:rFonts w:ascii="Times New Roman" w:hAnsi="Times New Roman" w:cs="Times New Roman"/>
          <w:sz w:val="24"/>
          <w:szCs w:val="24"/>
        </w:rPr>
      </w:pPr>
      <w:r>
        <w:rPr>
          <w:rFonts w:ascii="Times New Roman" w:hAnsi="Times New Roman" w:cs="Times New Roman"/>
          <w:sz w:val="24"/>
          <w:szCs w:val="24"/>
        </w:rPr>
        <w:t>Раздел 2. Реквизиты контрагента/взыскателя</w:t>
      </w:r>
    </w:p>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по исполнительному документу/решению налогового органа</w:t>
      </w:r>
    </w:p>
    <w:p w:rsidR="00786289" w:rsidRDefault="00786289">
      <w:pPr>
        <w:pStyle w:val="ConsPlusNormal"/>
        <w:jc w:val="both"/>
        <w:rPr>
          <w:rFonts w:ascii="Times New Roman" w:hAnsi="Times New Roman" w:cs="Times New Roman"/>
          <w:sz w:val="24"/>
          <w:szCs w:val="24"/>
        </w:rPr>
      </w:pPr>
    </w:p>
    <w:tbl>
      <w:tblPr>
        <w:tblW w:w="14794" w:type="dxa"/>
        <w:tblInd w:w="-60"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160"/>
        <w:gridCol w:w="1260"/>
        <w:gridCol w:w="1080"/>
        <w:gridCol w:w="1800"/>
        <w:gridCol w:w="1541"/>
        <w:gridCol w:w="1732"/>
        <w:gridCol w:w="1639"/>
        <w:gridCol w:w="1388"/>
        <w:gridCol w:w="2194"/>
      </w:tblGrid>
      <w:tr w:rsidR="00786289">
        <w:tc>
          <w:tcPr>
            <w:tcW w:w="2160" w:type="dxa"/>
            <w:tcBorders>
              <w:left w:val="nil"/>
            </w:tcBorders>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Наименование юридического лица/ФИО физического лица</w:t>
            </w:r>
          </w:p>
        </w:tc>
        <w:tc>
          <w:tcPr>
            <w:tcW w:w="1260" w:type="dxa"/>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ИНН</w:t>
            </w:r>
          </w:p>
        </w:tc>
        <w:tc>
          <w:tcPr>
            <w:tcW w:w="1080" w:type="dxa"/>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КПП</w:t>
            </w:r>
          </w:p>
        </w:tc>
        <w:tc>
          <w:tcPr>
            <w:tcW w:w="1800" w:type="dxa"/>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Код по Сводному реестру</w:t>
            </w:r>
          </w:p>
        </w:tc>
        <w:tc>
          <w:tcPr>
            <w:tcW w:w="1541" w:type="dxa"/>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Номер лицевого счета</w:t>
            </w:r>
          </w:p>
        </w:tc>
        <w:tc>
          <w:tcPr>
            <w:tcW w:w="1732" w:type="dxa"/>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Номер банковского счета</w:t>
            </w:r>
          </w:p>
        </w:tc>
        <w:tc>
          <w:tcPr>
            <w:tcW w:w="1639" w:type="dxa"/>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Наименование банка</w:t>
            </w:r>
          </w:p>
        </w:tc>
        <w:tc>
          <w:tcPr>
            <w:tcW w:w="1388" w:type="dxa"/>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БИК банка</w:t>
            </w:r>
          </w:p>
        </w:tc>
        <w:tc>
          <w:tcPr>
            <w:tcW w:w="2194" w:type="dxa"/>
            <w:tcBorders>
              <w:right w:val="nil"/>
            </w:tcBorders>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Корреспондентский счет банка</w:t>
            </w:r>
          </w:p>
        </w:tc>
      </w:tr>
      <w:tr w:rsidR="00786289">
        <w:tc>
          <w:tcPr>
            <w:tcW w:w="2160" w:type="dxa"/>
            <w:tcBorders>
              <w:left w:val="nil"/>
            </w:tcBorders>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1</w:t>
            </w:r>
          </w:p>
        </w:tc>
        <w:tc>
          <w:tcPr>
            <w:tcW w:w="1260" w:type="dxa"/>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2</w:t>
            </w:r>
          </w:p>
        </w:tc>
        <w:tc>
          <w:tcPr>
            <w:tcW w:w="1080" w:type="dxa"/>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3</w:t>
            </w:r>
          </w:p>
        </w:tc>
        <w:tc>
          <w:tcPr>
            <w:tcW w:w="1800" w:type="dxa"/>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4</w:t>
            </w:r>
          </w:p>
        </w:tc>
        <w:tc>
          <w:tcPr>
            <w:tcW w:w="1541" w:type="dxa"/>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5</w:t>
            </w:r>
          </w:p>
        </w:tc>
        <w:tc>
          <w:tcPr>
            <w:tcW w:w="1732" w:type="dxa"/>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6</w:t>
            </w:r>
          </w:p>
        </w:tc>
        <w:tc>
          <w:tcPr>
            <w:tcW w:w="1639" w:type="dxa"/>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7</w:t>
            </w:r>
          </w:p>
        </w:tc>
        <w:tc>
          <w:tcPr>
            <w:tcW w:w="1388" w:type="dxa"/>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8</w:t>
            </w:r>
          </w:p>
        </w:tc>
        <w:tc>
          <w:tcPr>
            <w:tcW w:w="2194" w:type="dxa"/>
            <w:tcBorders>
              <w:right w:val="nil"/>
            </w:tcBorders>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9</w:t>
            </w:r>
          </w:p>
        </w:tc>
      </w:tr>
      <w:tr w:rsidR="00786289">
        <w:tblPrEx>
          <w:tblBorders>
            <w:left w:val="single" w:sz="4" w:space="0" w:color="auto"/>
            <w:right w:val="single" w:sz="4" w:space="0" w:color="auto"/>
          </w:tblBorders>
        </w:tblPrEx>
        <w:tc>
          <w:tcPr>
            <w:tcW w:w="2160" w:type="dxa"/>
          </w:tcPr>
          <w:p w:rsidR="00786289" w:rsidRDefault="00786289">
            <w:pPr>
              <w:pStyle w:val="ConsPlusNormal"/>
              <w:rPr>
                <w:rFonts w:ascii="Times New Roman" w:hAnsi="Times New Roman" w:cs="Times New Roman"/>
                <w:sz w:val="24"/>
                <w:szCs w:val="24"/>
              </w:rPr>
            </w:pPr>
          </w:p>
        </w:tc>
        <w:tc>
          <w:tcPr>
            <w:tcW w:w="1260" w:type="dxa"/>
          </w:tcPr>
          <w:p w:rsidR="00786289" w:rsidRDefault="00786289">
            <w:pPr>
              <w:pStyle w:val="ConsPlusNormal"/>
              <w:rPr>
                <w:rFonts w:ascii="Times New Roman" w:hAnsi="Times New Roman" w:cs="Times New Roman"/>
                <w:sz w:val="24"/>
                <w:szCs w:val="24"/>
              </w:rPr>
            </w:pPr>
          </w:p>
        </w:tc>
        <w:tc>
          <w:tcPr>
            <w:tcW w:w="1080" w:type="dxa"/>
          </w:tcPr>
          <w:p w:rsidR="00786289" w:rsidRDefault="00786289">
            <w:pPr>
              <w:pStyle w:val="ConsPlusNormal"/>
              <w:rPr>
                <w:rFonts w:ascii="Times New Roman" w:hAnsi="Times New Roman" w:cs="Times New Roman"/>
                <w:sz w:val="24"/>
                <w:szCs w:val="24"/>
              </w:rPr>
            </w:pPr>
          </w:p>
        </w:tc>
        <w:tc>
          <w:tcPr>
            <w:tcW w:w="1800" w:type="dxa"/>
          </w:tcPr>
          <w:p w:rsidR="00786289" w:rsidRDefault="00786289">
            <w:pPr>
              <w:pStyle w:val="ConsPlusNormal"/>
              <w:rPr>
                <w:rFonts w:ascii="Times New Roman" w:hAnsi="Times New Roman" w:cs="Times New Roman"/>
                <w:sz w:val="24"/>
                <w:szCs w:val="24"/>
              </w:rPr>
            </w:pPr>
          </w:p>
        </w:tc>
        <w:tc>
          <w:tcPr>
            <w:tcW w:w="1541" w:type="dxa"/>
          </w:tcPr>
          <w:p w:rsidR="00786289" w:rsidRDefault="00786289">
            <w:pPr>
              <w:pStyle w:val="ConsPlusNormal"/>
              <w:rPr>
                <w:rFonts w:ascii="Times New Roman" w:hAnsi="Times New Roman" w:cs="Times New Roman"/>
                <w:sz w:val="24"/>
                <w:szCs w:val="24"/>
              </w:rPr>
            </w:pPr>
          </w:p>
        </w:tc>
        <w:tc>
          <w:tcPr>
            <w:tcW w:w="1732" w:type="dxa"/>
          </w:tcPr>
          <w:p w:rsidR="00786289" w:rsidRDefault="00786289">
            <w:pPr>
              <w:pStyle w:val="ConsPlusNormal"/>
              <w:rPr>
                <w:rFonts w:ascii="Times New Roman" w:hAnsi="Times New Roman" w:cs="Times New Roman"/>
                <w:sz w:val="24"/>
                <w:szCs w:val="24"/>
              </w:rPr>
            </w:pPr>
          </w:p>
        </w:tc>
        <w:tc>
          <w:tcPr>
            <w:tcW w:w="1639" w:type="dxa"/>
          </w:tcPr>
          <w:p w:rsidR="00786289" w:rsidRDefault="00786289">
            <w:pPr>
              <w:pStyle w:val="ConsPlusNormal"/>
              <w:rPr>
                <w:rFonts w:ascii="Times New Roman" w:hAnsi="Times New Roman" w:cs="Times New Roman"/>
                <w:sz w:val="24"/>
                <w:szCs w:val="24"/>
              </w:rPr>
            </w:pPr>
          </w:p>
        </w:tc>
        <w:tc>
          <w:tcPr>
            <w:tcW w:w="1388" w:type="dxa"/>
          </w:tcPr>
          <w:p w:rsidR="00786289" w:rsidRDefault="00786289">
            <w:pPr>
              <w:pStyle w:val="ConsPlusNormal"/>
              <w:rPr>
                <w:rFonts w:ascii="Times New Roman" w:hAnsi="Times New Roman" w:cs="Times New Roman"/>
                <w:sz w:val="24"/>
                <w:szCs w:val="24"/>
              </w:rPr>
            </w:pPr>
          </w:p>
        </w:tc>
        <w:tc>
          <w:tcPr>
            <w:tcW w:w="2194" w:type="dxa"/>
          </w:tcPr>
          <w:p w:rsidR="00786289" w:rsidRDefault="00786289">
            <w:pPr>
              <w:pStyle w:val="ConsPlusNormal"/>
              <w:rPr>
                <w:rFonts w:ascii="Times New Roman" w:hAnsi="Times New Roman" w:cs="Times New Roman"/>
                <w:sz w:val="24"/>
                <w:szCs w:val="24"/>
              </w:rPr>
            </w:pPr>
          </w:p>
        </w:tc>
      </w:tr>
      <w:tr w:rsidR="00786289">
        <w:tblPrEx>
          <w:tblBorders>
            <w:left w:val="single" w:sz="4" w:space="0" w:color="auto"/>
            <w:right w:val="single" w:sz="4" w:space="0" w:color="auto"/>
          </w:tblBorders>
        </w:tblPrEx>
        <w:tc>
          <w:tcPr>
            <w:tcW w:w="2160" w:type="dxa"/>
          </w:tcPr>
          <w:p w:rsidR="00786289" w:rsidRDefault="00786289">
            <w:pPr>
              <w:pStyle w:val="ConsPlusNormal"/>
              <w:rPr>
                <w:rFonts w:ascii="Times New Roman" w:hAnsi="Times New Roman" w:cs="Times New Roman"/>
                <w:sz w:val="24"/>
                <w:szCs w:val="24"/>
              </w:rPr>
            </w:pPr>
          </w:p>
        </w:tc>
        <w:tc>
          <w:tcPr>
            <w:tcW w:w="1260" w:type="dxa"/>
          </w:tcPr>
          <w:p w:rsidR="00786289" w:rsidRDefault="00786289">
            <w:pPr>
              <w:pStyle w:val="ConsPlusNormal"/>
              <w:rPr>
                <w:rFonts w:ascii="Times New Roman" w:hAnsi="Times New Roman" w:cs="Times New Roman"/>
                <w:sz w:val="24"/>
                <w:szCs w:val="24"/>
              </w:rPr>
            </w:pPr>
          </w:p>
        </w:tc>
        <w:tc>
          <w:tcPr>
            <w:tcW w:w="1080" w:type="dxa"/>
          </w:tcPr>
          <w:p w:rsidR="00786289" w:rsidRDefault="00786289">
            <w:pPr>
              <w:pStyle w:val="ConsPlusNormal"/>
              <w:rPr>
                <w:rFonts w:ascii="Times New Roman" w:hAnsi="Times New Roman" w:cs="Times New Roman"/>
                <w:sz w:val="24"/>
                <w:szCs w:val="24"/>
              </w:rPr>
            </w:pPr>
          </w:p>
        </w:tc>
        <w:tc>
          <w:tcPr>
            <w:tcW w:w="1800" w:type="dxa"/>
          </w:tcPr>
          <w:p w:rsidR="00786289" w:rsidRDefault="00786289">
            <w:pPr>
              <w:pStyle w:val="ConsPlusNormal"/>
              <w:rPr>
                <w:rFonts w:ascii="Times New Roman" w:hAnsi="Times New Roman" w:cs="Times New Roman"/>
                <w:sz w:val="24"/>
                <w:szCs w:val="24"/>
              </w:rPr>
            </w:pPr>
          </w:p>
        </w:tc>
        <w:tc>
          <w:tcPr>
            <w:tcW w:w="1541" w:type="dxa"/>
          </w:tcPr>
          <w:p w:rsidR="00786289" w:rsidRDefault="00786289">
            <w:pPr>
              <w:pStyle w:val="ConsPlusNormal"/>
              <w:rPr>
                <w:rFonts w:ascii="Times New Roman" w:hAnsi="Times New Roman" w:cs="Times New Roman"/>
                <w:sz w:val="24"/>
                <w:szCs w:val="24"/>
              </w:rPr>
            </w:pPr>
          </w:p>
        </w:tc>
        <w:tc>
          <w:tcPr>
            <w:tcW w:w="1732" w:type="dxa"/>
          </w:tcPr>
          <w:p w:rsidR="00786289" w:rsidRDefault="00786289">
            <w:pPr>
              <w:pStyle w:val="ConsPlusNormal"/>
              <w:rPr>
                <w:rFonts w:ascii="Times New Roman" w:hAnsi="Times New Roman" w:cs="Times New Roman"/>
                <w:sz w:val="24"/>
                <w:szCs w:val="24"/>
              </w:rPr>
            </w:pPr>
          </w:p>
        </w:tc>
        <w:tc>
          <w:tcPr>
            <w:tcW w:w="1639" w:type="dxa"/>
          </w:tcPr>
          <w:p w:rsidR="00786289" w:rsidRDefault="00786289">
            <w:pPr>
              <w:pStyle w:val="ConsPlusNormal"/>
              <w:rPr>
                <w:rFonts w:ascii="Times New Roman" w:hAnsi="Times New Roman" w:cs="Times New Roman"/>
                <w:sz w:val="24"/>
                <w:szCs w:val="24"/>
              </w:rPr>
            </w:pPr>
          </w:p>
        </w:tc>
        <w:tc>
          <w:tcPr>
            <w:tcW w:w="1388" w:type="dxa"/>
          </w:tcPr>
          <w:p w:rsidR="00786289" w:rsidRDefault="00786289">
            <w:pPr>
              <w:pStyle w:val="ConsPlusNormal"/>
              <w:rPr>
                <w:rFonts w:ascii="Times New Roman" w:hAnsi="Times New Roman" w:cs="Times New Roman"/>
                <w:sz w:val="24"/>
                <w:szCs w:val="24"/>
              </w:rPr>
            </w:pPr>
          </w:p>
        </w:tc>
        <w:tc>
          <w:tcPr>
            <w:tcW w:w="2194" w:type="dxa"/>
          </w:tcPr>
          <w:p w:rsidR="00786289" w:rsidRDefault="00786289">
            <w:pPr>
              <w:pStyle w:val="ConsPlusNormal"/>
              <w:rPr>
                <w:rFonts w:ascii="Times New Roman" w:hAnsi="Times New Roman" w:cs="Times New Roman"/>
                <w:sz w:val="24"/>
                <w:szCs w:val="24"/>
              </w:rPr>
            </w:pPr>
          </w:p>
        </w:tc>
      </w:tr>
    </w:tbl>
    <w:p w:rsidR="00786289" w:rsidRDefault="00786289">
      <w:pPr>
        <w:pStyle w:val="ConsPlusNormal"/>
        <w:jc w:val="both"/>
        <w:rPr>
          <w:rFonts w:ascii="Times New Roman" w:hAnsi="Times New Roman" w:cs="Times New Roman"/>
          <w:sz w:val="24"/>
          <w:szCs w:val="24"/>
        </w:rPr>
      </w:pPr>
    </w:p>
    <w:p w:rsidR="00786289" w:rsidRDefault="00786289">
      <w:pPr>
        <w:pStyle w:val="ConsPlusNormal"/>
        <w:jc w:val="right"/>
        <w:rPr>
          <w:rFonts w:ascii="Times New Roman" w:hAnsi="Times New Roman" w:cs="Times New Roman"/>
          <w:sz w:val="24"/>
          <w:szCs w:val="24"/>
        </w:rPr>
      </w:pPr>
      <w:r>
        <w:rPr>
          <w:rFonts w:ascii="Times New Roman" w:hAnsi="Times New Roman" w:cs="Times New Roman"/>
          <w:sz w:val="24"/>
          <w:szCs w:val="24"/>
        </w:rPr>
        <w:t>Номер страницы __________</w:t>
      </w:r>
    </w:p>
    <w:p w:rsidR="00786289" w:rsidRDefault="00786289">
      <w:pPr>
        <w:pStyle w:val="ConsPlusNormal"/>
        <w:jc w:val="right"/>
        <w:rPr>
          <w:rFonts w:ascii="Times New Roman" w:hAnsi="Times New Roman" w:cs="Times New Roman"/>
          <w:sz w:val="24"/>
          <w:szCs w:val="24"/>
        </w:rPr>
      </w:pPr>
      <w:r>
        <w:rPr>
          <w:rFonts w:ascii="Times New Roman" w:hAnsi="Times New Roman" w:cs="Times New Roman"/>
          <w:sz w:val="24"/>
          <w:szCs w:val="24"/>
        </w:rPr>
        <w:t>Всего страниц ___________</w:t>
      </w:r>
    </w:p>
    <w:p w:rsidR="00786289" w:rsidRDefault="00786289">
      <w:pPr>
        <w:rPr>
          <w:rFonts w:ascii="Times New Roman" w:hAnsi="Times New Roman" w:cs="Times New Roman"/>
          <w:sz w:val="24"/>
          <w:szCs w:val="24"/>
        </w:rPr>
        <w:sectPr w:rsidR="00786289">
          <w:headerReference w:type="default" r:id="rId23"/>
          <w:pgSz w:w="16838" w:h="11906" w:orient="landscape"/>
          <w:pgMar w:top="719" w:right="1134" w:bottom="851" w:left="1134" w:header="0" w:footer="0" w:gutter="0"/>
          <w:cols w:space="720"/>
        </w:sectPr>
      </w:pPr>
    </w:p>
    <w:p w:rsidR="00786289" w:rsidRDefault="00786289">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t>Приложение 2</w:t>
      </w:r>
    </w:p>
    <w:p w:rsidR="00786289" w:rsidRDefault="00786289">
      <w:pPr>
        <w:pStyle w:val="ConsPlusNormal"/>
        <w:jc w:val="right"/>
        <w:rPr>
          <w:rFonts w:ascii="Times New Roman" w:hAnsi="Times New Roman" w:cs="Times New Roman"/>
          <w:sz w:val="24"/>
          <w:szCs w:val="24"/>
        </w:rPr>
      </w:pPr>
      <w:r>
        <w:rPr>
          <w:rFonts w:ascii="Times New Roman" w:hAnsi="Times New Roman" w:cs="Times New Roman"/>
          <w:sz w:val="24"/>
          <w:szCs w:val="24"/>
        </w:rPr>
        <w:t>к Порядку учета бюджетных</w:t>
      </w:r>
    </w:p>
    <w:p w:rsidR="00786289" w:rsidRDefault="00786289">
      <w:pPr>
        <w:pStyle w:val="ConsPlusNormal"/>
        <w:jc w:val="right"/>
        <w:rPr>
          <w:rFonts w:ascii="Times New Roman" w:hAnsi="Times New Roman" w:cs="Times New Roman"/>
          <w:sz w:val="24"/>
          <w:szCs w:val="24"/>
        </w:rPr>
      </w:pPr>
      <w:r>
        <w:rPr>
          <w:rFonts w:ascii="Times New Roman" w:hAnsi="Times New Roman" w:cs="Times New Roman"/>
          <w:sz w:val="24"/>
          <w:szCs w:val="24"/>
        </w:rPr>
        <w:t>и денежных обязательств получателей средств бюджета</w:t>
      </w:r>
    </w:p>
    <w:p w:rsidR="00786289" w:rsidRDefault="00786289">
      <w:pPr>
        <w:pStyle w:val="ConsPlusNormal"/>
        <w:jc w:val="right"/>
        <w:rPr>
          <w:rFonts w:ascii="Times New Roman" w:hAnsi="Times New Roman" w:cs="Times New Roman"/>
          <w:sz w:val="24"/>
          <w:szCs w:val="24"/>
        </w:rPr>
      </w:pPr>
      <w:r>
        <w:rPr>
          <w:rFonts w:ascii="Times New Roman" w:hAnsi="Times New Roman" w:cs="Times New Roman"/>
          <w:sz w:val="24"/>
          <w:szCs w:val="24"/>
        </w:rPr>
        <w:t>Курташкинского сельского поселения Атюрьевского</w:t>
      </w:r>
    </w:p>
    <w:p w:rsidR="00786289" w:rsidRDefault="00786289">
      <w:pPr>
        <w:pStyle w:val="ConsPlusNormal"/>
        <w:jc w:val="right"/>
        <w:rPr>
          <w:rFonts w:ascii="Times New Roman" w:hAnsi="Times New Roman" w:cs="Times New Roman"/>
          <w:sz w:val="24"/>
          <w:szCs w:val="24"/>
        </w:rPr>
      </w:pPr>
      <w:r>
        <w:rPr>
          <w:rFonts w:ascii="Times New Roman" w:hAnsi="Times New Roman" w:cs="Times New Roman"/>
          <w:sz w:val="24"/>
          <w:szCs w:val="24"/>
        </w:rPr>
        <w:t>муниципального района Республики Мордовия</w:t>
      </w:r>
    </w:p>
    <w:p w:rsidR="00786289" w:rsidRDefault="00786289">
      <w:pPr>
        <w:pStyle w:val="ConsPlusNormal"/>
        <w:jc w:val="right"/>
        <w:rPr>
          <w:rFonts w:ascii="Times New Roman" w:hAnsi="Times New Roman" w:cs="Times New Roman"/>
          <w:sz w:val="24"/>
          <w:szCs w:val="24"/>
        </w:rPr>
      </w:pPr>
      <w:r>
        <w:rPr>
          <w:rFonts w:ascii="Times New Roman" w:hAnsi="Times New Roman" w:cs="Times New Roman"/>
          <w:sz w:val="24"/>
          <w:szCs w:val="24"/>
        </w:rPr>
        <w:t>от «____» ______________2018 г. №_______</w:t>
      </w:r>
    </w:p>
    <w:p w:rsidR="00786289" w:rsidRDefault="00786289">
      <w:pPr>
        <w:pStyle w:val="ConsPlusNormal"/>
        <w:jc w:val="right"/>
        <w:rPr>
          <w:rFonts w:ascii="Times New Roman" w:hAnsi="Times New Roman" w:cs="Times New Roman"/>
          <w:sz w:val="24"/>
          <w:szCs w:val="24"/>
        </w:rPr>
      </w:pPr>
    </w:p>
    <w:p w:rsidR="00786289" w:rsidRDefault="00786289">
      <w:pPr>
        <w:pStyle w:val="ConsPlusNonformat"/>
        <w:jc w:val="both"/>
      </w:pPr>
      <w:r>
        <w:t xml:space="preserve">                                 Сведения</w:t>
      </w:r>
    </w:p>
    <w:p w:rsidR="00786289" w:rsidRDefault="00786289">
      <w:pPr>
        <w:pStyle w:val="ConsPlusNonformat"/>
        <w:jc w:val="both"/>
      </w:pPr>
      <w:r>
        <w:t xml:space="preserve">                   о денежном обязательстве N _________</w:t>
      </w:r>
    </w:p>
    <w:p w:rsidR="00786289" w:rsidRDefault="00786289">
      <w:pPr>
        <w:pStyle w:val="ConsPlusNonformat"/>
        <w:jc w:val="both"/>
      </w:pPr>
      <w:r>
        <w:t xml:space="preserve">                     "__" ___________________ 20__ г.</w:t>
      </w:r>
    </w:p>
    <w:p w:rsidR="00786289" w:rsidRDefault="00786289">
      <w:pPr>
        <w:pStyle w:val="ConsPlusNonformat"/>
        <w:jc w:val="both"/>
      </w:pPr>
      <w:r>
        <w:t xml:space="preserve">                                                                                                                ┌───────┐</w:t>
      </w:r>
    </w:p>
    <w:p w:rsidR="00786289" w:rsidRDefault="00786289">
      <w:pPr>
        <w:pStyle w:val="ConsPlusNonformat"/>
        <w:jc w:val="both"/>
      </w:pPr>
      <w:r>
        <w:t xml:space="preserve">                                                                                                                │ Коды  │</w:t>
      </w:r>
    </w:p>
    <w:p w:rsidR="00786289" w:rsidRDefault="00786289">
      <w:pPr>
        <w:pStyle w:val="ConsPlusNonformat"/>
        <w:jc w:val="both"/>
      </w:pPr>
      <w:r>
        <w:t xml:space="preserve">                                                                                                                ├───────┤</w:t>
      </w:r>
    </w:p>
    <w:p w:rsidR="00786289" w:rsidRDefault="00786289">
      <w:pPr>
        <w:pStyle w:val="ConsPlusNonformat"/>
        <w:jc w:val="both"/>
      </w:pPr>
      <w:r>
        <w:t xml:space="preserve">                                                                                                  Форма по </w:t>
      </w:r>
      <w:hyperlink r:id="rId24" w:history="1">
        <w:r>
          <w:t>ОКУД</w:t>
        </w:r>
      </w:hyperlink>
      <w:r>
        <w:t xml:space="preserve"> │0506102│</w:t>
      </w:r>
    </w:p>
    <w:p w:rsidR="00786289" w:rsidRDefault="00786289">
      <w:pPr>
        <w:pStyle w:val="ConsPlusNonformat"/>
        <w:jc w:val="both"/>
      </w:pPr>
      <w:r>
        <w:t xml:space="preserve">                                                                                                                ├───────┤</w:t>
      </w:r>
    </w:p>
    <w:p w:rsidR="00786289" w:rsidRDefault="00786289">
      <w:pPr>
        <w:pStyle w:val="ConsPlusNonformat"/>
        <w:jc w:val="both"/>
      </w:pPr>
      <w:r>
        <w:t xml:space="preserve">                                                                                                           Дата │       │</w:t>
      </w:r>
    </w:p>
    <w:p w:rsidR="00786289" w:rsidRDefault="00786289">
      <w:pPr>
        <w:pStyle w:val="ConsPlusNonformat"/>
        <w:jc w:val="both"/>
      </w:pPr>
      <w:r>
        <w:t>Получатель                                                                                                      ├───────┤</w:t>
      </w:r>
    </w:p>
    <w:p w:rsidR="00786289" w:rsidRDefault="00786289">
      <w:pPr>
        <w:pStyle w:val="ConsPlusNonformat"/>
        <w:jc w:val="both"/>
      </w:pPr>
      <w:r>
        <w:t>бюджетных средств  ______________________                                               Код по Сводному реестру │       │</w:t>
      </w:r>
    </w:p>
    <w:p w:rsidR="00786289" w:rsidRDefault="00786289">
      <w:pPr>
        <w:pStyle w:val="ConsPlusNonformat"/>
        <w:jc w:val="both"/>
      </w:pPr>
      <w:r>
        <w:t xml:space="preserve">                                                                                                                ├───────┤</w:t>
      </w:r>
    </w:p>
    <w:p w:rsidR="00786289" w:rsidRDefault="00786289">
      <w:pPr>
        <w:pStyle w:val="ConsPlusNonformat"/>
        <w:jc w:val="both"/>
      </w:pPr>
      <w:r>
        <w:t>Главный распорядитель                                                                      Номер лицевого счета │       │</w:t>
      </w:r>
    </w:p>
    <w:p w:rsidR="00786289" w:rsidRDefault="00786289">
      <w:pPr>
        <w:pStyle w:val="ConsPlusNonformat"/>
        <w:jc w:val="both"/>
      </w:pPr>
      <w:r>
        <w:t>бюджетных средств  ______________________                                                                       ├───────┤</w:t>
      </w:r>
    </w:p>
    <w:p w:rsidR="00786289" w:rsidRDefault="00786289">
      <w:pPr>
        <w:pStyle w:val="ConsPlusNonformat"/>
        <w:jc w:val="both"/>
      </w:pPr>
      <w:r>
        <w:t xml:space="preserve">                   ______________________                                                           Глава по БК │       │</w:t>
      </w:r>
    </w:p>
    <w:p w:rsidR="00786289" w:rsidRDefault="00786289">
      <w:pPr>
        <w:pStyle w:val="ConsPlusNonformat"/>
        <w:jc w:val="both"/>
      </w:pPr>
      <w:r>
        <w:t>Финансовый орган   ______________________                                                                       ├───────┤</w:t>
      </w:r>
    </w:p>
    <w:p w:rsidR="00786289" w:rsidRDefault="00786289">
      <w:pPr>
        <w:pStyle w:val="ConsPlusNonformat"/>
        <w:jc w:val="both"/>
      </w:pPr>
      <w:r>
        <w:t xml:space="preserve">                                                                                                       по </w:t>
      </w:r>
      <w:hyperlink r:id="rId25" w:history="1">
        <w:r>
          <w:t>ОКТМО</w:t>
        </w:r>
      </w:hyperlink>
      <w:r>
        <w:t xml:space="preserve"> │       │</w:t>
      </w:r>
    </w:p>
    <w:p w:rsidR="00786289" w:rsidRDefault="00786289">
      <w:pPr>
        <w:pStyle w:val="ConsPlusNonformat"/>
        <w:jc w:val="both"/>
      </w:pPr>
      <w:r>
        <w:t xml:space="preserve">                                                                                                        по ОКПО │       │</w:t>
      </w:r>
    </w:p>
    <w:p w:rsidR="00786289" w:rsidRDefault="00786289">
      <w:pPr>
        <w:pStyle w:val="ConsPlusNonformat"/>
        <w:jc w:val="both"/>
      </w:pPr>
      <w:r>
        <w:t xml:space="preserve">                                                                         Учетный номер бюджетного обязательства │       │</w:t>
      </w:r>
    </w:p>
    <w:p w:rsidR="00786289" w:rsidRDefault="00786289">
      <w:pPr>
        <w:pStyle w:val="ConsPlusNonformat"/>
        <w:jc w:val="both"/>
      </w:pPr>
      <w:r>
        <w:t xml:space="preserve">                                                                          Учетный номер денежного обязательства │       │</w:t>
      </w:r>
    </w:p>
    <w:p w:rsidR="00786289" w:rsidRDefault="00786289">
      <w:pPr>
        <w:pStyle w:val="ConsPlusNonformat"/>
        <w:jc w:val="both"/>
      </w:pPr>
      <w:r>
        <w:t xml:space="preserve">                                                                                     Признак авансового платежа │       │</w:t>
      </w:r>
    </w:p>
    <w:p w:rsidR="00786289" w:rsidRDefault="00786289">
      <w:pPr>
        <w:pStyle w:val="ConsPlusNonformat"/>
        <w:jc w:val="both"/>
      </w:pPr>
      <w:r>
        <w:t>Периодичность: ежедневная                                                                                       │       │</w:t>
      </w:r>
    </w:p>
    <w:p w:rsidR="00786289" w:rsidRDefault="00786289">
      <w:pPr>
        <w:pStyle w:val="ConsPlusNonformat"/>
        <w:jc w:val="both"/>
      </w:pPr>
      <w:r>
        <w:t>Единица измерения: руб.                                                                                         ├───────┤</w:t>
      </w:r>
    </w:p>
    <w:p w:rsidR="00786289" w:rsidRDefault="00786289">
      <w:pPr>
        <w:pStyle w:val="ConsPlusNonformat"/>
        <w:jc w:val="both"/>
      </w:pPr>
      <w:r>
        <w:t xml:space="preserve">                   денежные единицы в                                                                   по </w:t>
      </w:r>
      <w:hyperlink r:id="rId26" w:history="1">
        <w:r>
          <w:t>ОКЕИ</w:t>
        </w:r>
      </w:hyperlink>
      <w:r>
        <w:t xml:space="preserve"> │  383  │</w:t>
      </w:r>
    </w:p>
    <w:p w:rsidR="00786289" w:rsidRDefault="00786289">
      <w:pPr>
        <w:pStyle w:val="ConsPlusNonformat"/>
        <w:jc w:val="both"/>
      </w:pPr>
      <w:r>
        <w:t xml:space="preserve">                   иностранной валюте                                                                           ├───────┤</w:t>
      </w:r>
    </w:p>
    <w:p w:rsidR="00786289" w:rsidRDefault="00786289">
      <w:pPr>
        <w:pStyle w:val="ConsPlusNonformat"/>
        <w:jc w:val="both"/>
      </w:pPr>
      <w:r>
        <w:t xml:space="preserve">                                                                                                         по </w:t>
      </w:r>
      <w:hyperlink r:id="rId27" w:history="1">
        <w:r>
          <w:t>ОКВ</w:t>
        </w:r>
      </w:hyperlink>
      <w:r>
        <w:t xml:space="preserve"> │       │</w:t>
      </w:r>
    </w:p>
    <w:p w:rsidR="00786289" w:rsidRDefault="00786289">
      <w:pPr>
        <w:pStyle w:val="ConsPlusNonformat"/>
        <w:jc w:val="both"/>
      </w:pPr>
      <w:r>
        <w:t xml:space="preserve">                                                                                                                └───────┘</w:t>
      </w:r>
    </w:p>
    <w:p w:rsidR="00786289" w:rsidRDefault="00786289">
      <w:pPr>
        <w:pStyle w:val="ConsPlusNormal"/>
        <w:jc w:val="center"/>
        <w:outlineLvl w:val="2"/>
        <w:rPr>
          <w:rFonts w:ascii="Times New Roman" w:hAnsi="Times New Roman" w:cs="Times New Roman"/>
          <w:sz w:val="24"/>
          <w:szCs w:val="24"/>
        </w:rPr>
      </w:pPr>
      <w:r>
        <w:rPr>
          <w:rFonts w:ascii="Times New Roman" w:hAnsi="Times New Roman" w:cs="Times New Roman"/>
          <w:sz w:val="24"/>
          <w:szCs w:val="24"/>
        </w:rPr>
        <w:t>1. Реквизиты документа, подтверждающего возникновение</w:t>
      </w:r>
    </w:p>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денежного обязательства</w:t>
      </w:r>
    </w:p>
    <w:p w:rsidR="00786289" w:rsidRDefault="00786289">
      <w:pPr>
        <w:pStyle w:val="ConsPlusNormal"/>
        <w:jc w:val="both"/>
        <w:rPr>
          <w:rFonts w:ascii="Times New Roman" w:hAnsi="Times New Roman" w:cs="Times New Roman"/>
          <w:sz w:val="24"/>
          <w:szCs w:val="24"/>
        </w:rPr>
      </w:pPr>
    </w:p>
    <w:tbl>
      <w:tblPr>
        <w:tblW w:w="0" w:type="auto"/>
        <w:tblInd w:w="-60"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191"/>
        <w:gridCol w:w="2154"/>
        <w:gridCol w:w="1417"/>
        <w:gridCol w:w="1587"/>
        <w:gridCol w:w="2721"/>
      </w:tblGrid>
      <w:tr w:rsidR="00786289">
        <w:tc>
          <w:tcPr>
            <w:tcW w:w="1191" w:type="dxa"/>
            <w:tcBorders>
              <w:left w:val="nil"/>
            </w:tcBorders>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Вид</w:t>
            </w:r>
          </w:p>
        </w:tc>
        <w:tc>
          <w:tcPr>
            <w:tcW w:w="2154" w:type="dxa"/>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Номер</w:t>
            </w:r>
          </w:p>
        </w:tc>
        <w:tc>
          <w:tcPr>
            <w:tcW w:w="1417" w:type="dxa"/>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Дата</w:t>
            </w:r>
          </w:p>
        </w:tc>
        <w:tc>
          <w:tcPr>
            <w:tcW w:w="1587" w:type="dxa"/>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Сумма</w:t>
            </w:r>
          </w:p>
        </w:tc>
        <w:tc>
          <w:tcPr>
            <w:tcW w:w="2721" w:type="dxa"/>
            <w:tcBorders>
              <w:right w:val="nil"/>
            </w:tcBorders>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Предмет</w:t>
            </w:r>
          </w:p>
        </w:tc>
      </w:tr>
      <w:tr w:rsidR="00786289">
        <w:tc>
          <w:tcPr>
            <w:tcW w:w="1191" w:type="dxa"/>
            <w:tcBorders>
              <w:left w:val="nil"/>
            </w:tcBorders>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1</w:t>
            </w:r>
          </w:p>
        </w:tc>
        <w:tc>
          <w:tcPr>
            <w:tcW w:w="2154" w:type="dxa"/>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2</w:t>
            </w:r>
          </w:p>
        </w:tc>
        <w:tc>
          <w:tcPr>
            <w:tcW w:w="1417" w:type="dxa"/>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3</w:t>
            </w:r>
          </w:p>
        </w:tc>
        <w:tc>
          <w:tcPr>
            <w:tcW w:w="1587" w:type="dxa"/>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4</w:t>
            </w:r>
          </w:p>
        </w:tc>
        <w:tc>
          <w:tcPr>
            <w:tcW w:w="2721" w:type="dxa"/>
            <w:tcBorders>
              <w:right w:val="nil"/>
            </w:tcBorders>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5</w:t>
            </w:r>
          </w:p>
        </w:tc>
      </w:tr>
      <w:tr w:rsidR="00786289">
        <w:tblPrEx>
          <w:tblBorders>
            <w:left w:val="single" w:sz="4" w:space="0" w:color="auto"/>
          </w:tblBorders>
        </w:tblPrEx>
        <w:tc>
          <w:tcPr>
            <w:tcW w:w="1191" w:type="dxa"/>
          </w:tcPr>
          <w:p w:rsidR="00786289" w:rsidRDefault="00786289">
            <w:pPr>
              <w:pStyle w:val="ConsPlusNormal"/>
              <w:rPr>
                <w:rFonts w:ascii="Times New Roman" w:hAnsi="Times New Roman" w:cs="Times New Roman"/>
                <w:sz w:val="24"/>
                <w:szCs w:val="24"/>
              </w:rPr>
            </w:pPr>
          </w:p>
        </w:tc>
        <w:tc>
          <w:tcPr>
            <w:tcW w:w="2154" w:type="dxa"/>
          </w:tcPr>
          <w:p w:rsidR="00786289" w:rsidRDefault="00786289">
            <w:pPr>
              <w:pStyle w:val="ConsPlusNormal"/>
              <w:rPr>
                <w:rFonts w:ascii="Times New Roman" w:hAnsi="Times New Roman" w:cs="Times New Roman"/>
                <w:sz w:val="24"/>
                <w:szCs w:val="24"/>
              </w:rPr>
            </w:pPr>
          </w:p>
        </w:tc>
        <w:tc>
          <w:tcPr>
            <w:tcW w:w="1417" w:type="dxa"/>
          </w:tcPr>
          <w:p w:rsidR="00786289" w:rsidRDefault="00786289">
            <w:pPr>
              <w:pStyle w:val="ConsPlusNormal"/>
              <w:rPr>
                <w:rFonts w:ascii="Times New Roman" w:hAnsi="Times New Roman" w:cs="Times New Roman"/>
                <w:sz w:val="24"/>
                <w:szCs w:val="24"/>
              </w:rPr>
            </w:pPr>
          </w:p>
        </w:tc>
        <w:tc>
          <w:tcPr>
            <w:tcW w:w="1587" w:type="dxa"/>
          </w:tcPr>
          <w:p w:rsidR="00786289" w:rsidRDefault="00786289">
            <w:pPr>
              <w:pStyle w:val="ConsPlusNormal"/>
              <w:rPr>
                <w:rFonts w:ascii="Times New Roman" w:hAnsi="Times New Roman" w:cs="Times New Roman"/>
                <w:sz w:val="24"/>
                <w:szCs w:val="24"/>
              </w:rPr>
            </w:pPr>
          </w:p>
        </w:tc>
        <w:tc>
          <w:tcPr>
            <w:tcW w:w="2721" w:type="dxa"/>
            <w:tcBorders>
              <w:right w:val="nil"/>
            </w:tcBorders>
          </w:tcPr>
          <w:p w:rsidR="00786289" w:rsidRDefault="00786289">
            <w:pPr>
              <w:pStyle w:val="ConsPlusNormal"/>
              <w:rPr>
                <w:rFonts w:ascii="Times New Roman" w:hAnsi="Times New Roman" w:cs="Times New Roman"/>
                <w:sz w:val="24"/>
                <w:szCs w:val="24"/>
              </w:rPr>
            </w:pPr>
          </w:p>
        </w:tc>
      </w:tr>
    </w:tbl>
    <w:p w:rsidR="00786289" w:rsidRDefault="00786289">
      <w:pPr>
        <w:pStyle w:val="ConsPlusNormal"/>
        <w:jc w:val="both"/>
        <w:rPr>
          <w:rFonts w:ascii="Times New Roman" w:hAnsi="Times New Roman" w:cs="Times New Roman"/>
          <w:sz w:val="24"/>
          <w:szCs w:val="24"/>
        </w:rPr>
      </w:pPr>
    </w:p>
    <w:p w:rsidR="00786289" w:rsidRDefault="00786289">
      <w:pPr>
        <w:pStyle w:val="ConsPlusNormal"/>
        <w:jc w:val="center"/>
        <w:outlineLvl w:val="2"/>
        <w:rPr>
          <w:rFonts w:ascii="Times New Roman" w:hAnsi="Times New Roman" w:cs="Times New Roman"/>
          <w:sz w:val="24"/>
          <w:szCs w:val="24"/>
        </w:rPr>
      </w:pPr>
      <w:r>
        <w:rPr>
          <w:rFonts w:ascii="Times New Roman" w:hAnsi="Times New Roman" w:cs="Times New Roman"/>
          <w:sz w:val="24"/>
          <w:szCs w:val="24"/>
        </w:rPr>
        <w:t>2. Расшифровка документа, подтверждающего возникновение</w:t>
      </w:r>
    </w:p>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денежного обязательства</w:t>
      </w:r>
    </w:p>
    <w:p w:rsidR="00786289" w:rsidRDefault="00786289">
      <w:pPr>
        <w:pStyle w:val="ConsPlusNormal"/>
        <w:jc w:val="both"/>
        <w:rPr>
          <w:rFonts w:ascii="Times New Roman" w:hAnsi="Times New Roman" w:cs="Times New Roman"/>
          <w:sz w:val="24"/>
          <w:szCs w:val="24"/>
        </w:rPr>
      </w:pPr>
    </w:p>
    <w:tbl>
      <w:tblPr>
        <w:tblW w:w="14940" w:type="dxa"/>
        <w:tblInd w:w="-60"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700"/>
        <w:gridCol w:w="2340"/>
        <w:gridCol w:w="900"/>
        <w:gridCol w:w="1800"/>
        <w:gridCol w:w="1800"/>
        <w:gridCol w:w="1440"/>
        <w:gridCol w:w="1260"/>
        <w:gridCol w:w="2700"/>
      </w:tblGrid>
      <w:tr w:rsidR="00786289">
        <w:trPr>
          <w:cantSplit/>
        </w:trPr>
        <w:tc>
          <w:tcPr>
            <w:tcW w:w="2700" w:type="dxa"/>
            <w:vMerge w:val="restart"/>
            <w:tcBorders>
              <w:left w:val="nil"/>
            </w:tcBorders>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Код объекта по государственной программе</w:t>
            </w:r>
          </w:p>
        </w:tc>
        <w:tc>
          <w:tcPr>
            <w:tcW w:w="2340" w:type="dxa"/>
            <w:vMerge w:val="restart"/>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Наименование вида средств</w:t>
            </w:r>
          </w:p>
        </w:tc>
        <w:tc>
          <w:tcPr>
            <w:tcW w:w="900" w:type="dxa"/>
            <w:vMerge w:val="restart"/>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Код по БК</w:t>
            </w:r>
          </w:p>
        </w:tc>
        <w:tc>
          <w:tcPr>
            <w:tcW w:w="1800" w:type="dxa"/>
            <w:vMerge w:val="restart"/>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Аналитический код</w:t>
            </w:r>
          </w:p>
        </w:tc>
        <w:tc>
          <w:tcPr>
            <w:tcW w:w="1800" w:type="dxa"/>
            <w:vMerge w:val="restart"/>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Сумма в валюте выплаты</w:t>
            </w:r>
          </w:p>
        </w:tc>
        <w:tc>
          <w:tcPr>
            <w:tcW w:w="1440" w:type="dxa"/>
            <w:vMerge w:val="restart"/>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Код валюты</w:t>
            </w:r>
          </w:p>
        </w:tc>
        <w:tc>
          <w:tcPr>
            <w:tcW w:w="3960" w:type="dxa"/>
            <w:gridSpan w:val="2"/>
            <w:tcBorders>
              <w:right w:val="nil"/>
            </w:tcBorders>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Сумма в рублевом эквиваленте</w:t>
            </w:r>
          </w:p>
        </w:tc>
      </w:tr>
      <w:tr w:rsidR="00786289">
        <w:trPr>
          <w:cantSplit/>
          <w:trHeight w:val="723"/>
        </w:trPr>
        <w:tc>
          <w:tcPr>
            <w:tcW w:w="2700" w:type="dxa"/>
            <w:vMerge/>
            <w:tcBorders>
              <w:left w:val="nil"/>
            </w:tcBorders>
          </w:tcPr>
          <w:p w:rsidR="00786289" w:rsidRDefault="00786289">
            <w:pPr>
              <w:rPr>
                <w:rFonts w:ascii="Times New Roman" w:hAnsi="Times New Roman" w:cs="Times New Roman"/>
                <w:sz w:val="24"/>
                <w:szCs w:val="24"/>
              </w:rPr>
            </w:pPr>
          </w:p>
        </w:tc>
        <w:tc>
          <w:tcPr>
            <w:tcW w:w="2340" w:type="dxa"/>
            <w:vMerge/>
          </w:tcPr>
          <w:p w:rsidR="00786289" w:rsidRDefault="00786289">
            <w:pPr>
              <w:rPr>
                <w:rFonts w:ascii="Times New Roman" w:hAnsi="Times New Roman" w:cs="Times New Roman"/>
                <w:sz w:val="24"/>
                <w:szCs w:val="24"/>
              </w:rPr>
            </w:pPr>
          </w:p>
        </w:tc>
        <w:tc>
          <w:tcPr>
            <w:tcW w:w="900" w:type="dxa"/>
            <w:vMerge/>
          </w:tcPr>
          <w:p w:rsidR="00786289" w:rsidRDefault="00786289">
            <w:pPr>
              <w:rPr>
                <w:rFonts w:ascii="Times New Roman" w:hAnsi="Times New Roman" w:cs="Times New Roman"/>
                <w:sz w:val="24"/>
                <w:szCs w:val="24"/>
              </w:rPr>
            </w:pPr>
          </w:p>
        </w:tc>
        <w:tc>
          <w:tcPr>
            <w:tcW w:w="1800" w:type="dxa"/>
            <w:vMerge/>
          </w:tcPr>
          <w:p w:rsidR="00786289" w:rsidRDefault="00786289">
            <w:pPr>
              <w:rPr>
                <w:rFonts w:ascii="Times New Roman" w:hAnsi="Times New Roman" w:cs="Times New Roman"/>
                <w:sz w:val="24"/>
                <w:szCs w:val="24"/>
              </w:rPr>
            </w:pPr>
          </w:p>
        </w:tc>
        <w:tc>
          <w:tcPr>
            <w:tcW w:w="1800" w:type="dxa"/>
            <w:vMerge/>
          </w:tcPr>
          <w:p w:rsidR="00786289" w:rsidRDefault="00786289">
            <w:pPr>
              <w:rPr>
                <w:rFonts w:ascii="Times New Roman" w:hAnsi="Times New Roman" w:cs="Times New Roman"/>
                <w:sz w:val="24"/>
                <w:szCs w:val="24"/>
              </w:rPr>
            </w:pPr>
          </w:p>
        </w:tc>
        <w:tc>
          <w:tcPr>
            <w:tcW w:w="1440" w:type="dxa"/>
            <w:vMerge/>
          </w:tcPr>
          <w:p w:rsidR="00786289" w:rsidRDefault="00786289">
            <w:pPr>
              <w:rPr>
                <w:rFonts w:ascii="Times New Roman" w:hAnsi="Times New Roman" w:cs="Times New Roman"/>
                <w:sz w:val="24"/>
                <w:szCs w:val="24"/>
              </w:rPr>
            </w:pPr>
          </w:p>
        </w:tc>
        <w:tc>
          <w:tcPr>
            <w:tcW w:w="1260" w:type="dxa"/>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всего</w:t>
            </w:r>
          </w:p>
        </w:tc>
        <w:tc>
          <w:tcPr>
            <w:tcW w:w="2700" w:type="dxa"/>
            <w:tcBorders>
              <w:right w:val="nil"/>
            </w:tcBorders>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в том числе перечислено сумм аванса</w:t>
            </w:r>
          </w:p>
        </w:tc>
      </w:tr>
      <w:tr w:rsidR="00786289">
        <w:tc>
          <w:tcPr>
            <w:tcW w:w="2700" w:type="dxa"/>
            <w:tcBorders>
              <w:left w:val="nil"/>
            </w:tcBorders>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1</w:t>
            </w:r>
          </w:p>
        </w:tc>
        <w:tc>
          <w:tcPr>
            <w:tcW w:w="2340" w:type="dxa"/>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2</w:t>
            </w:r>
          </w:p>
        </w:tc>
        <w:tc>
          <w:tcPr>
            <w:tcW w:w="900" w:type="dxa"/>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3</w:t>
            </w:r>
          </w:p>
        </w:tc>
        <w:tc>
          <w:tcPr>
            <w:tcW w:w="1800" w:type="dxa"/>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4</w:t>
            </w:r>
          </w:p>
        </w:tc>
        <w:tc>
          <w:tcPr>
            <w:tcW w:w="1800" w:type="dxa"/>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5</w:t>
            </w:r>
          </w:p>
        </w:tc>
        <w:tc>
          <w:tcPr>
            <w:tcW w:w="1440" w:type="dxa"/>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6</w:t>
            </w:r>
          </w:p>
        </w:tc>
        <w:tc>
          <w:tcPr>
            <w:tcW w:w="1260" w:type="dxa"/>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7</w:t>
            </w:r>
          </w:p>
        </w:tc>
        <w:tc>
          <w:tcPr>
            <w:tcW w:w="2700" w:type="dxa"/>
            <w:tcBorders>
              <w:right w:val="nil"/>
            </w:tcBorders>
          </w:tcPr>
          <w:p w:rsidR="00786289" w:rsidRDefault="00786289">
            <w:pPr>
              <w:pStyle w:val="ConsPlusNormal"/>
              <w:jc w:val="center"/>
              <w:rPr>
                <w:rFonts w:ascii="Times New Roman" w:hAnsi="Times New Roman" w:cs="Times New Roman"/>
                <w:sz w:val="24"/>
                <w:szCs w:val="24"/>
              </w:rPr>
            </w:pPr>
            <w:r>
              <w:rPr>
                <w:rFonts w:ascii="Times New Roman" w:hAnsi="Times New Roman" w:cs="Times New Roman"/>
                <w:sz w:val="24"/>
                <w:szCs w:val="24"/>
              </w:rPr>
              <w:t>8</w:t>
            </w:r>
          </w:p>
        </w:tc>
      </w:tr>
      <w:tr w:rsidR="00786289">
        <w:tblPrEx>
          <w:tblBorders>
            <w:left w:val="single" w:sz="4" w:space="0" w:color="auto"/>
            <w:right w:val="single" w:sz="4" w:space="0" w:color="auto"/>
          </w:tblBorders>
        </w:tblPrEx>
        <w:tc>
          <w:tcPr>
            <w:tcW w:w="2700" w:type="dxa"/>
          </w:tcPr>
          <w:p w:rsidR="00786289" w:rsidRDefault="00786289">
            <w:pPr>
              <w:pStyle w:val="ConsPlusNormal"/>
              <w:rPr>
                <w:rFonts w:ascii="Times New Roman" w:hAnsi="Times New Roman" w:cs="Times New Roman"/>
                <w:sz w:val="24"/>
                <w:szCs w:val="24"/>
              </w:rPr>
            </w:pPr>
          </w:p>
        </w:tc>
        <w:tc>
          <w:tcPr>
            <w:tcW w:w="2340" w:type="dxa"/>
          </w:tcPr>
          <w:p w:rsidR="00786289" w:rsidRDefault="00786289">
            <w:pPr>
              <w:pStyle w:val="ConsPlusNormal"/>
              <w:rPr>
                <w:rFonts w:ascii="Times New Roman" w:hAnsi="Times New Roman" w:cs="Times New Roman"/>
                <w:sz w:val="24"/>
                <w:szCs w:val="24"/>
              </w:rPr>
            </w:pPr>
          </w:p>
        </w:tc>
        <w:tc>
          <w:tcPr>
            <w:tcW w:w="900" w:type="dxa"/>
          </w:tcPr>
          <w:p w:rsidR="00786289" w:rsidRDefault="00786289">
            <w:pPr>
              <w:pStyle w:val="ConsPlusNormal"/>
              <w:rPr>
                <w:rFonts w:ascii="Times New Roman" w:hAnsi="Times New Roman" w:cs="Times New Roman"/>
                <w:sz w:val="24"/>
                <w:szCs w:val="24"/>
              </w:rPr>
            </w:pPr>
          </w:p>
        </w:tc>
        <w:tc>
          <w:tcPr>
            <w:tcW w:w="1800" w:type="dxa"/>
          </w:tcPr>
          <w:p w:rsidR="00786289" w:rsidRDefault="00786289">
            <w:pPr>
              <w:pStyle w:val="ConsPlusNormal"/>
              <w:rPr>
                <w:rFonts w:ascii="Times New Roman" w:hAnsi="Times New Roman" w:cs="Times New Roman"/>
                <w:sz w:val="24"/>
                <w:szCs w:val="24"/>
              </w:rPr>
            </w:pPr>
          </w:p>
        </w:tc>
        <w:tc>
          <w:tcPr>
            <w:tcW w:w="1800" w:type="dxa"/>
          </w:tcPr>
          <w:p w:rsidR="00786289" w:rsidRDefault="00786289">
            <w:pPr>
              <w:pStyle w:val="ConsPlusNormal"/>
              <w:rPr>
                <w:rFonts w:ascii="Times New Roman" w:hAnsi="Times New Roman" w:cs="Times New Roman"/>
                <w:sz w:val="24"/>
                <w:szCs w:val="24"/>
              </w:rPr>
            </w:pPr>
          </w:p>
        </w:tc>
        <w:tc>
          <w:tcPr>
            <w:tcW w:w="1440" w:type="dxa"/>
          </w:tcPr>
          <w:p w:rsidR="00786289" w:rsidRDefault="00786289">
            <w:pPr>
              <w:pStyle w:val="ConsPlusNormal"/>
              <w:rPr>
                <w:rFonts w:ascii="Times New Roman" w:hAnsi="Times New Roman" w:cs="Times New Roman"/>
                <w:sz w:val="24"/>
                <w:szCs w:val="24"/>
              </w:rPr>
            </w:pPr>
          </w:p>
        </w:tc>
        <w:tc>
          <w:tcPr>
            <w:tcW w:w="1260" w:type="dxa"/>
          </w:tcPr>
          <w:p w:rsidR="00786289" w:rsidRDefault="00786289">
            <w:pPr>
              <w:pStyle w:val="ConsPlusNormal"/>
              <w:rPr>
                <w:rFonts w:ascii="Times New Roman" w:hAnsi="Times New Roman" w:cs="Times New Roman"/>
                <w:sz w:val="24"/>
                <w:szCs w:val="24"/>
              </w:rPr>
            </w:pPr>
          </w:p>
        </w:tc>
        <w:tc>
          <w:tcPr>
            <w:tcW w:w="2700" w:type="dxa"/>
          </w:tcPr>
          <w:p w:rsidR="00786289" w:rsidRDefault="00786289">
            <w:pPr>
              <w:pStyle w:val="ConsPlusNormal"/>
              <w:rPr>
                <w:rFonts w:ascii="Times New Roman" w:hAnsi="Times New Roman" w:cs="Times New Roman"/>
                <w:sz w:val="24"/>
                <w:szCs w:val="24"/>
              </w:rPr>
            </w:pPr>
          </w:p>
        </w:tc>
      </w:tr>
      <w:tr w:rsidR="00786289">
        <w:tblPrEx>
          <w:tblBorders>
            <w:left w:val="single" w:sz="4" w:space="0" w:color="auto"/>
            <w:right w:val="single" w:sz="4" w:space="0" w:color="auto"/>
          </w:tblBorders>
        </w:tblPrEx>
        <w:tc>
          <w:tcPr>
            <w:tcW w:w="2700" w:type="dxa"/>
          </w:tcPr>
          <w:p w:rsidR="00786289" w:rsidRDefault="00786289">
            <w:pPr>
              <w:pStyle w:val="ConsPlusNormal"/>
              <w:rPr>
                <w:rFonts w:ascii="Times New Roman" w:hAnsi="Times New Roman" w:cs="Times New Roman"/>
                <w:sz w:val="24"/>
                <w:szCs w:val="24"/>
              </w:rPr>
            </w:pPr>
          </w:p>
        </w:tc>
        <w:tc>
          <w:tcPr>
            <w:tcW w:w="2340" w:type="dxa"/>
          </w:tcPr>
          <w:p w:rsidR="00786289" w:rsidRDefault="00786289">
            <w:pPr>
              <w:pStyle w:val="ConsPlusNormal"/>
              <w:rPr>
                <w:rFonts w:ascii="Times New Roman" w:hAnsi="Times New Roman" w:cs="Times New Roman"/>
                <w:sz w:val="24"/>
                <w:szCs w:val="24"/>
              </w:rPr>
            </w:pPr>
          </w:p>
        </w:tc>
        <w:tc>
          <w:tcPr>
            <w:tcW w:w="900" w:type="dxa"/>
          </w:tcPr>
          <w:p w:rsidR="00786289" w:rsidRDefault="00786289">
            <w:pPr>
              <w:pStyle w:val="ConsPlusNormal"/>
              <w:rPr>
                <w:rFonts w:ascii="Times New Roman" w:hAnsi="Times New Roman" w:cs="Times New Roman"/>
                <w:sz w:val="24"/>
                <w:szCs w:val="24"/>
              </w:rPr>
            </w:pPr>
          </w:p>
        </w:tc>
        <w:tc>
          <w:tcPr>
            <w:tcW w:w="1800" w:type="dxa"/>
          </w:tcPr>
          <w:p w:rsidR="00786289" w:rsidRDefault="00786289">
            <w:pPr>
              <w:pStyle w:val="ConsPlusNormal"/>
              <w:rPr>
                <w:rFonts w:ascii="Times New Roman" w:hAnsi="Times New Roman" w:cs="Times New Roman"/>
                <w:sz w:val="24"/>
                <w:szCs w:val="24"/>
              </w:rPr>
            </w:pPr>
          </w:p>
        </w:tc>
        <w:tc>
          <w:tcPr>
            <w:tcW w:w="1800" w:type="dxa"/>
          </w:tcPr>
          <w:p w:rsidR="00786289" w:rsidRDefault="00786289">
            <w:pPr>
              <w:pStyle w:val="ConsPlusNormal"/>
              <w:rPr>
                <w:rFonts w:ascii="Times New Roman" w:hAnsi="Times New Roman" w:cs="Times New Roman"/>
                <w:sz w:val="24"/>
                <w:szCs w:val="24"/>
              </w:rPr>
            </w:pPr>
          </w:p>
        </w:tc>
        <w:tc>
          <w:tcPr>
            <w:tcW w:w="1440" w:type="dxa"/>
          </w:tcPr>
          <w:p w:rsidR="00786289" w:rsidRDefault="00786289">
            <w:pPr>
              <w:pStyle w:val="ConsPlusNormal"/>
              <w:rPr>
                <w:rFonts w:ascii="Times New Roman" w:hAnsi="Times New Roman" w:cs="Times New Roman"/>
                <w:sz w:val="24"/>
                <w:szCs w:val="24"/>
              </w:rPr>
            </w:pPr>
          </w:p>
        </w:tc>
        <w:tc>
          <w:tcPr>
            <w:tcW w:w="1260" w:type="dxa"/>
          </w:tcPr>
          <w:p w:rsidR="00786289" w:rsidRDefault="00786289">
            <w:pPr>
              <w:pStyle w:val="ConsPlusNormal"/>
              <w:rPr>
                <w:rFonts w:ascii="Times New Roman" w:hAnsi="Times New Roman" w:cs="Times New Roman"/>
                <w:sz w:val="24"/>
                <w:szCs w:val="24"/>
              </w:rPr>
            </w:pPr>
          </w:p>
        </w:tc>
        <w:tc>
          <w:tcPr>
            <w:tcW w:w="2700" w:type="dxa"/>
          </w:tcPr>
          <w:p w:rsidR="00786289" w:rsidRDefault="00786289">
            <w:pPr>
              <w:pStyle w:val="ConsPlusNormal"/>
              <w:rPr>
                <w:rFonts w:ascii="Times New Roman" w:hAnsi="Times New Roman" w:cs="Times New Roman"/>
                <w:sz w:val="24"/>
                <w:szCs w:val="24"/>
              </w:rPr>
            </w:pPr>
          </w:p>
        </w:tc>
      </w:tr>
      <w:tr w:rsidR="00786289">
        <w:tblPrEx>
          <w:tblBorders>
            <w:right w:val="single" w:sz="4" w:space="0" w:color="auto"/>
          </w:tblBorders>
        </w:tblPrEx>
        <w:tc>
          <w:tcPr>
            <w:tcW w:w="10980" w:type="dxa"/>
            <w:gridSpan w:val="6"/>
            <w:tcBorders>
              <w:left w:val="nil"/>
              <w:bottom w:val="nil"/>
            </w:tcBorders>
          </w:tcPr>
          <w:p w:rsidR="00786289" w:rsidRDefault="00786289">
            <w:pPr>
              <w:pStyle w:val="ConsPlusNormal"/>
              <w:jc w:val="right"/>
              <w:rPr>
                <w:rFonts w:ascii="Times New Roman" w:hAnsi="Times New Roman" w:cs="Times New Roman"/>
                <w:sz w:val="24"/>
                <w:szCs w:val="24"/>
              </w:rPr>
            </w:pPr>
            <w:r>
              <w:rPr>
                <w:rFonts w:ascii="Times New Roman" w:hAnsi="Times New Roman" w:cs="Times New Roman"/>
                <w:sz w:val="24"/>
                <w:szCs w:val="24"/>
              </w:rPr>
              <w:t>Итого:</w:t>
            </w:r>
          </w:p>
        </w:tc>
        <w:tc>
          <w:tcPr>
            <w:tcW w:w="1260" w:type="dxa"/>
          </w:tcPr>
          <w:p w:rsidR="00786289" w:rsidRDefault="00786289">
            <w:pPr>
              <w:pStyle w:val="ConsPlusNormal"/>
              <w:rPr>
                <w:rFonts w:ascii="Times New Roman" w:hAnsi="Times New Roman" w:cs="Times New Roman"/>
                <w:sz w:val="24"/>
                <w:szCs w:val="24"/>
              </w:rPr>
            </w:pPr>
          </w:p>
        </w:tc>
        <w:tc>
          <w:tcPr>
            <w:tcW w:w="2700" w:type="dxa"/>
          </w:tcPr>
          <w:p w:rsidR="00786289" w:rsidRDefault="00786289">
            <w:pPr>
              <w:pStyle w:val="ConsPlusNormal"/>
              <w:rPr>
                <w:rFonts w:ascii="Times New Roman" w:hAnsi="Times New Roman" w:cs="Times New Roman"/>
                <w:sz w:val="24"/>
                <w:szCs w:val="24"/>
              </w:rPr>
            </w:pPr>
          </w:p>
        </w:tc>
      </w:tr>
    </w:tbl>
    <w:p w:rsidR="00786289" w:rsidRDefault="00786289">
      <w:pPr>
        <w:pStyle w:val="ConsPlusNonformat"/>
        <w:jc w:val="both"/>
        <w:rPr>
          <w:rFonts w:ascii="Times New Roman" w:hAnsi="Times New Roman" w:cs="Times New Roman"/>
          <w:sz w:val="24"/>
          <w:szCs w:val="24"/>
        </w:rPr>
      </w:pPr>
      <w:r>
        <w:rPr>
          <w:rFonts w:ascii="Times New Roman" w:hAnsi="Times New Roman" w:cs="Times New Roman"/>
          <w:sz w:val="24"/>
          <w:szCs w:val="24"/>
        </w:rPr>
        <w:t>Руководитель</w:t>
      </w:r>
    </w:p>
    <w:p w:rsidR="00786289" w:rsidRDefault="00786289">
      <w:pPr>
        <w:pStyle w:val="ConsPlusNonformat"/>
        <w:jc w:val="both"/>
        <w:rPr>
          <w:rFonts w:ascii="Times New Roman" w:hAnsi="Times New Roman" w:cs="Times New Roman"/>
          <w:sz w:val="24"/>
          <w:szCs w:val="24"/>
        </w:rPr>
      </w:pPr>
      <w:r>
        <w:rPr>
          <w:rFonts w:ascii="Times New Roman" w:hAnsi="Times New Roman" w:cs="Times New Roman"/>
          <w:sz w:val="24"/>
          <w:szCs w:val="24"/>
        </w:rPr>
        <w:t>(уполномоченное лицо) ___________ _________ _______________________________</w:t>
      </w:r>
    </w:p>
    <w:p w:rsidR="00786289" w:rsidRDefault="00786289">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(должность) (подпись)     (расшифровка подписи)</w:t>
      </w:r>
    </w:p>
    <w:p w:rsidR="00786289" w:rsidRDefault="00786289">
      <w:pPr>
        <w:pStyle w:val="ConsPlusNonformat"/>
        <w:jc w:val="both"/>
        <w:rPr>
          <w:rFonts w:ascii="Times New Roman" w:hAnsi="Times New Roman" w:cs="Times New Roman"/>
          <w:sz w:val="24"/>
          <w:szCs w:val="24"/>
        </w:rPr>
      </w:pPr>
    </w:p>
    <w:p w:rsidR="00786289" w:rsidRDefault="00786289">
      <w:pPr>
        <w:pStyle w:val="ConsPlusNonformat"/>
        <w:jc w:val="both"/>
        <w:rPr>
          <w:rFonts w:ascii="Times New Roman" w:hAnsi="Times New Roman" w:cs="Times New Roman"/>
          <w:sz w:val="24"/>
          <w:szCs w:val="24"/>
        </w:rPr>
      </w:pPr>
      <w:r>
        <w:rPr>
          <w:rFonts w:ascii="Times New Roman" w:hAnsi="Times New Roman" w:cs="Times New Roman"/>
          <w:sz w:val="24"/>
          <w:szCs w:val="24"/>
        </w:rPr>
        <w:t>Главный бухгалтер</w:t>
      </w:r>
    </w:p>
    <w:p w:rsidR="00786289" w:rsidRDefault="00786289">
      <w:pPr>
        <w:pStyle w:val="ConsPlusNonformat"/>
        <w:jc w:val="both"/>
        <w:rPr>
          <w:rFonts w:ascii="Times New Roman" w:hAnsi="Times New Roman" w:cs="Times New Roman"/>
          <w:sz w:val="24"/>
          <w:szCs w:val="24"/>
        </w:rPr>
      </w:pPr>
      <w:r>
        <w:rPr>
          <w:rFonts w:ascii="Times New Roman" w:hAnsi="Times New Roman" w:cs="Times New Roman"/>
          <w:sz w:val="24"/>
          <w:szCs w:val="24"/>
        </w:rPr>
        <w:t>(уполномоченное лицо) ___________ _________ _______________________________</w:t>
      </w:r>
    </w:p>
    <w:p w:rsidR="00786289" w:rsidRDefault="00786289">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(должность) (подпись)     (расшифровка подписи)</w:t>
      </w:r>
    </w:p>
    <w:p w:rsidR="00786289" w:rsidRDefault="00786289">
      <w:pPr>
        <w:pStyle w:val="ConsPlusNonformat"/>
        <w:jc w:val="both"/>
        <w:rPr>
          <w:rFonts w:ascii="Times New Roman" w:hAnsi="Times New Roman" w:cs="Times New Roman"/>
          <w:sz w:val="24"/>
          <w:szCs w:val="24"/>
        </w:rPr>
      </w:pPr>
      <w:r>
        <w:rPr>
          <w:rFonts w:ascii="Times New Roman" w:hAnsi="Times New Roman" w:cs="Times New Roman"/>
          <w:sz w:val="24"/>
          <w:szCs w:val="24"/>
        </w:rPr>
        <w:t>"__" ______________ 20__ г.</w:t>
      </w:r>
    </w:p>
    <w:p w:rsidR="00786289" w:rsidRDefault="00786289">
      <w:pPr>
        <w:pStyle w:val="ConsPlusNonformat"/>
        <w:jc w:val="both"/>
        <w:rPr>
          <w:rFonts w:ascii="Times New Roman" w:hAnsi="Times New Roman" w:cs="Times New Roman"/>
          <w:sz w:val="24"/>
          <w:szCs w:val="24"/>
        </w:rPr>
      </w:pPr>
    </w:p>
    <w:p w:rsidR="00786289" w:rsidRDefault="00786289">
      <w:pPr>
        <w:pStyle w:val="ConsPlusNonformat"/>
        <w:jc w:val="both"/>
        <w:rPr>
          <w:rFonts w:ascii="Times New Roman" w:hAnsi="Times New Roman" w:cs="Times New Roman"/>
        </w:rPr>
      </w:pPr>
    </w:p>
    <w:p w:rsidR="00786289" w:rsidRDefault="00786289">
      <w:pPr>
        <w:pStyle w:val="ConsPlusNonformat"/>
        <w:jc w:val="both"/>
      </w:pPr>
      <w:r>
        <w:t>┌─────────────────────────────────────────────────────────────────────────┐</w:t>
      </w:r>
    </w:p>
    <w:p w:rsidR="00786289" w:rsidRDefault="00786289">
      <w:pPr>
        <w:pStyle w:val="ConsPlusNonformat"/>
        <w:jc w:val="both"/>
      </w:pPr>
      <w:r>
        <w:t>│   Отметка органа, осуществляющего открытие и ведение лицевых счетов,    │</w:t>
      </w:r>
    </w:p>
    <w:p w:rsidR="00786289" w:rsidRDefault="00786289">
      <w:pPr>
        <w:pStyle w:val="ConsPlusNonformat"/>
        <w:jc w:val="both"/>
      </w:pPr>
      <w:r>
        <w:t>│             о регистрации Сведений о денежном обязательстве             │</w:t>
      </w:r>
    </w:p>
    <w:p w:rsidR="00786289" w:rsidRDefault="00786289">
      <w:pPr>
        <w:pStyle w:val="ConsPlusNonformat"/>
        <w:jc w:val="both"/>
      </w:pPr>
      <w:r>
        <w:t>│                                                                         │</w:t>
      </w:r>
    </w:p>
    <w:p w:rsidR="00786289" w:rsidRDefault="00786289">
      <w:pPr>
        <w:pStyle w:val="ConsPlusNonformat"/>
        <w:jc w:val="both"/>
      </w:pPr>
      <w:r>
        <w:t>│ Номер сведений __________________________________                       │</w:t>
      </w:r>
    </w:p>
    <w:p w:rsidR="00786289" w:rsidRDefault="00786289">
      <w:pPr>
        <w:pStyle w:val="ConsPlusNonformat"/>
        <w:jc w:val="both"/>
      </w:pPr>
      <w:r>
        <w:t>│ Ответственный                                                           │</w:t>
      </w:r>
    </w:p>
    <w:p w:rsidR="00786289" w:rsidRDefault="00786289">
      <w:pPr>
        <w:pStyle w:val="ConsPlusNonformat"/>
        <w:jc w:val="both"/>
      </w:pPr>
      <w:r>
        <w:t>│ исполнитель    ___________ _________ _________________________________  │</w:t>
      </w:r>
    </w:p>
    <w:p w:rsidR="00786289" w:rsidRDefault="00786289">
      <w:pPr>
        <w:pStyle w:val="ConsPlusNonformat"/>
        <w:jc w:val="both"/>
      </w:pPr>
      <w:r>
        <w:t>│                (должность) (подпись) (расшифровка подписи) (телефон)    │</w:t>
      </w:r>
    </w:p>
    <w:p w:rsidR="00786289" w:rsidRDefault="00786289">
      <w:pPr>
        <w:pStyle w:val="ConsPlusNonformat"/>
        <w:jc w:val="both"/>
      </w:pPr>
      <w:r>
        <w:t>│                                                                         │</w:t>
      </w:r>
    </w:p>
    <w:p w:rsidR="00786289" w:rsidRDefault="00786289">
      <w:pPr>
        <w:pStyle w:val="ConsPlusNonformat"/>
        <w:jc w:val="both"/>
      </w:pPr>
      <w:r>
        <w:t>│ "__" ______________ 20__ г.                                             │</w:t>
      </w:r>
    </w:p>
    <w:p w:rsidR="00786289" w:rsidRDefault="00786289">
      <w:pPr>
        <w:pStyle w:val="ConsPlusNonformat"/>
        <w:jc w:val="both"/>
      </w:pPr>
      <w:r>
        <w:t>└─────────────────────────────────────────────────────────────────────────┘</w:t>
      </w:r>
    </w:p>
    <w:p w:rsidR="00786289" w:rsidRDefault="00786289">
      <w:pPr>
        <w:pStyle w:val="ConsPlusNormal"/>
        <w:jc w:val="right"/>
        <w:rPr>
          <w:rFonts w:ascii="Times New Roman" w:hAnsi="Times New Roman" w:cs="Times New Roman"/>
          <w:sz w:val="24"/>
          <w:szCs w:val="24"/>
        </w:rPr>
      </w:pPr>
      <w:r>
        <w:rPr>
          <w:rFonts w:ascii="Times New Roman" w:hAnsi="Times New Roman" w:cs="Times New Roman"/>
          <w:sz w:val="24"/>
          <w:szCs w:val="24"/>
        </w:rPr>
        <w:t>Номер страницы ____________</w:t>
      </w:r>
    </w:p>
    <w:p w:rsidR="00786289" w:rsidRDefault="00786289">
      <w:pPr>
        <w:pStyle w:val="ConsPlusNormal"/>
        <w:jc w:val="right"/>
        <w:rPr>
          <w:rFonts w:ascii="Times New Roman" w:hAnsi="Times New Roman" w:cs="Times New Roman"/>
          <w:sz w:val="24"/>
          <w:szCs w:val="24"/>
        </w:rPr>
        <w:sectPr w:rsidR="00786289">
          <w:pgSz w:w="16838" w:h="11906" w:orient="landscape"/>
          <w:pgMar w:top="539" w:right="1134" w:bottom="851" w:left="1134" w:header="0" w:footer="0" w:gutter="0"/>
          <w:cols w:space="720"/>
        </w:sectPr>
      </w:pPr>
      <w:r>
        <w:rPr>
          <w:rFonts w:ascii="Times New Roman" w:hAnsi="Times New Roman" w:cs="Times New Roman"/>
          <w:sz w:val="24"/>
          <w:szCs w:val="24"/>
        </w:rPr>
        <w:t>Всего страниц _____________</w:t>
      </w:r>
    </w:p>
    <w:p w:rsidR="00786289" w:rsidRDefault="00786289">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t>Приложение 3</w:t>
      </w:r>
    </w:p>
    <w:p w:rsidR="00786289" w:rsidRDefault="00786289">
      <w:pPr>
        <w:pStyle w:val="ConsPlusNormal"/>
        <w:jc w:val="right"/>
        <w:rPr>
          <w:rFonts w:ascii="Times New Roman" w:hAnsi="Times New Roman" w:cs="Times New Roman"/>
          <w:sz w:val="24"/>
          <w:szCs w:val="24"/>
        </w:rPr>
      </w:pPr>
      <w:r>
        <w:rPr>
          <w:rFonts w:ascii="Times New Roman" w:hAnsi="Times New Roman" w:cs="Times New Roman"/>
          <w:sz w:val="24"/>
          <w:szCs w:val="24"/>
        </w:rPr>
        <w:t>к Порядку учета бюджетных</w:t>
      </w:r>
    </w:p>
    <w:p w:rsidR="00786289" w:rsidRDefault="00786289">
      <w:pPr>
        <w:pStyle w:val="ConsPlusNormal"/>
        <w:jc w:val="right"/>
        <w:rPr>
          <w:rFonts w:ascii="Times New Roman" w:hAnsi="Times New Roman" w:cs="Times New Roman"/>
          <w:sz w:val="24"/>
          <w:szCs w:val="24"/>
        </w:rPr>
      </w:pPr>
      <w:r>
        <w:rPr>
          <w:rFonts w:ascii="Times New Roman" w:hAnsi="Times New Roman" w:cs="Times New Roman"/>
          <w:sz w:val="24"/>
          <w:szCs w:val="24"/>
        </w:rPr>
        <w:t>и денежных обязательств получателей средств бюджета</w:t>
      </w:r>
    </w:p>
    <w:p w:rsidR="00786289" w:rsidRDefault="00786289">
      <w:pPr>
        <w:pStyle w:val="ConsPlusNormal"/>
        <w:jc w:val="right"/>
        <w:rPr>
          <w:rFonts w:ascii="Times New Roman" w:hAnsi="Times New Roman" w:cs="Times New Roman"/>
          <w:sz w:val="24"/>
          <w:szCs w:val="24"/>
        </w:rPr>
      </w:pPr>
      <w:r>
        <w:rPr>
          <w:rFonts w:ascii="Times New Roman" w:hAnsi="Times New Roman" w:cs="Times New Roman"/>
          <w:sz w:val="24"/>
          <w:szCs w:val="24"/>
        </w:rPr>
        <w:t>Курташкинского сельского поселения Атюрьевского</w:t>
      </w:r>
    </w:p>
    <w:p w:rsidR="00786289" w:rsidRDefault="00786289">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муниципального района Республики Мордовия</w:t>
      </w:r>
    </w:p>
    <w:p w:rsidR="00786289" w:rsidRDefault="00786289">
      <w:pPr>
        <w:pStyle w:val="ConsPlusNormal"/>
        <w:jc w:val="right"/>
        <w:rPr>
          <w:rFonts w:ascii="Times New Roman" w:hAnsi="Times New Roman" w:cs="Times New Roman"/>
          <w:sz w:val="24"/>
          <w:szCs w:val="24"/>
        </w:rPr>
      </w:pPr>
      <w:r>
        <w:rPr>
          <w:rFonts w:ascii="Times New Roman" w:hAnsi="Times New Roman" w:cs="Times New Roman"/>
          <w:sz w:val="24"/>
          <w:szCs w:val="24"/>
        </w:rPr>
        <w:t>от «29» декабря 2018 г. №72</w:t>
      </w:r>
    </w:p>
    <w:p w:rsidR="00786289" w:rsidRDefault="00786289">
      <w:pPr>
        <w:pStyle w:val="ConsPlusNormal"/>
        <w:jc w:val="right"/>
        <w:rPr>
          <w:rFonts w:ascii="Times New Roman" w:hAnsi="Times New Roman" w:cs="Times New Roman"/>
          <w:sz w:val="24"/>
          <w:szCs w:val="24"/>
        </w:rPr>
      </w:pPr>
    </w:p>
    <w:p w:rsidR="00786289" w:rsidRDefault="00786289">
      <w:pPr>
        <w:pStyle w:val="ConsPlusNormal"/>
        <w:jc w:val="both"/>
        <w:rPr>
          <w:rFonts w:ascii="Times New Roman" w:hAnsi="Times New Roman" w:cs="Times New Roman"/>
          <w:sz w:val="24"/>
          <w:szCs w:val="24"/>
        </w:rPr>
      </w:pPr>
    </w:p>
    <w:p w:rsidR="00786289" w:rsidRDefault="00786289">
      <w:pPr>
        <w:pStyle w:val="ConsPlusNormal"/>
        <w:jc w:val="center"/>
        <w:rPr>
          <w:rFonts w:ascii="Times New Roman" w:hAnsi="Times New Roman" w:cs="Times New Roman"/>
          <w:sz w:val="28"/>
          <w:szCs w:val="28"/>
        </w:rPr>
      </w:pPr>
      <w:r>
        <w:rPr>
          <w:rFonts w:ascii="Times New Roman" w:hAnsi="Times New Roman" w:cs="Times New Roman"/>
          <w:sz w:val="28"/>
          <w:szCs w:val="28"/>
        </w:rPr>
        <w:t>ПЕРЕЧЕНЬ</w:t>
      </w:r>
    </w:p>
    <w:p w:rsidR="00786289" w:rsidRDefault="00786289">
      <w:pPr>
        <w:pStyle w:val="ConsPlusNormal"/>
        <w:jc w:val="center"/>
        <w:rPr>
          <w:rFonts w:ascii="Times New Roman" w:hAnsi="Times New Roman" w:cs="Times New Roman"/>
          <w:sz w:val="28"/>
          <w:szCs w:val="28"/>
        </w:rPr>
      </w:pPr>
      <w:r>
        <w:rPr>
          <w:rFonts w:ascii="Times New Roman" w:hAnsi="Times New Roman" w:cs="Times New Roman"/>
          <w:sz w:val="28"/>
          <w:szCs w:val="28"/>
        </w:rPr>
        <w:t>ДОКУМЕНТОВ, НА ОСНОВАНИИ КОТОРЫХ ВОЗНИКАЮТ БЮДЖЕТНЫЕ</w:t>
      </w:r>
    </w:p>
    <w:p w:rsidR="00786289" w:rsidRDefault="00786289">
      <w:pPr>
        <w:pStyle w:val="ConsPlusNormal"/>
        <w:jc w:val="center"/>
        <w:rPr>
          <w:rFonts w:ascii="Times New Roman" w:hAnsi="Times New Roman" w:cs="Times New Roman"/>
          <w:sz w:val="28"/>
          <w:szCs w:val="28"/>
        </w:rPr>
      </w:pPr>
      <w:r>
        <w:rPr>
          <w:rFonts w:ascii="Times New Roman" w:hAnsi="Times New Roman" w:cs="Times New Roman"/>
          <w:sz w:val="28"/>
          <w:szCs w:val="28"/>
        </w:rPr>
        <w:t>ОБЯЗАТЕЛЬСТВА ПОЛУЧАТЕЛЕЙ СРЕДСТВ БЮДЖЕТА</w:t>
      </w:r>
    </w:p>
    <w:p w:rsidR="00786289" w:rsidRDefault="00786289">
      <w:pPr>
        <w:pStyle w:val="ConsPlusNormal"/>
        <w:jc w:val="center"/>
        <w:rPr>
          <w:rFonts w:ascii="Times New Roman" w:hAnsi="Times New Roman" w:cs="Times New Roman"/>
          <w:sz w:val="28"/>
          <w:szCs w:val="28"/>
        </w:rPr>
      </w:pPr>
      <w:r>
        <w:rPr>
          <w:rFonts w:ascii="Times New Roman" w:hAnsi="Times New Roman" w:cs="Times New Roman"/>
          <w:sz w:val="28"/>
          <w:szCs w:val="28"/>
        </w:rPr>
        <w:t>КУРТАШКИНСКОГО СЕЛЬСКОГО ПОСЕЛЕНИЯ АТЮРЬЕВСКОГО МУНИЦИПАЛЬНОГО РАЙОНА РЕСПУБЛИКИ МОРДОВИЯ, И ДОКУМЕНТОВ, ПОДТВЕРЖДАЮЩИХ ВОЗНИКНОВЕНИЕ ДЕНЕЖНЫХ ОБЯЗАТЕЛЬСТВ ПОЛУЧАТЕЛЕЙ СРЕДСТВ БЮДЖЕТА КУРТАШКИНСКОГО СЕЛЬСКОГО ПОСЕЛЕНИЯ АТЮРЬЕВСКОГО МУНИЦИПАЛЬНОГО РАЙОНА РЕСПУБЛИКИ МОРДОВИЯ</w:t>
      </w:r>
    </w:p>
    <w:p w:rsidR="00786289" w:rsidRDefault="00786289">
      <w:pPr>
        <w:pStyle w:val="ConsPlusNormal"/>
        <w:jc w:val="both"/>
        <w:rPr>
          <w:rFonts w:ascii="Times New Roman" w:hAnsi="Times New Roman" w:cs="Times New Roman"/>
          <w:sz w:val="28"/>
          <w:szCs w:val="28"/>
        </w:rPr>
      </w:pPr>
    </w:p>
    <w:tbl>
      <w:tblPr>
        <w:tblW w:w="0" w:type="auto"/>
        <w:tblInd w:w="-60" w:type="dxa"/>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000"/>
      </w:tblPr>
      <w:tblGrid>
        <w:gridCol w:w="567"/>
        <w:gridCol w:w="4252"/>
        <w:gridCol w:w="5528"/>
      </w:tblGrid>
      <w:tr w:rsidR="00786289">
        <w:tc>
          <w:tcPr>
            <w:tcW w:w="567" w:type="dxa"/>
            <w:tcBorders>
              <w:top w:val="single" w:sz="4" w:space="0" w:color="auto"/>
              <w:bottom w:val="single" w:sz="4" w:space="0" w:color="auto"/>
              <w:right w:val="single" w:sz="4" w:space="0" w:color="auto"/>
            </w:tcBorders>
          </w:tcPr>
          <w:p w:rsidR="00786289" w:rsidRDefault="00786289">
            <w:pPr>
              <w:pStyle w:val="ConsPlusNormal"/>
              <w:jc w:val="center"/>
              <w:rPr>
                <w:rFonts w:ascii="Times New Roman" w:hAnsi="Times New Roman" w:cs="Times New Roman"/>
                <w:sz w:val="28"/>
                <w:szCs w:val="28"/>
              </w:rPr>
            </w:pPr>
            <w:r>
              <w:rPr>
                <w:rFonts w:ascii="Times New Roman" w:hAnsi="Times New Roman" w:cs="Times New Roman"/>
                <w:sz w:val="28"/>
                <w:szCs w:val="28"/>
              </w:rPr>
              <w:t>N</w:t>
            </w:r>
          </w:p>
          <w:p w:rsidR="00786289" w:rsidRDefault="00786289">
            <w:pPr>
              <w:pStyle w:val="ConsPlusNormal"/>
              <w:jc w:val="center"/>
              <w:rPr>
                <w:rFonts w:ascii="Times New Roman" w:hAnsi="Times New Roman" w:cs="Times New Roman"/>
                <w:sz w:val="28"/>
                <w:szCs w:val="28"/>
              </w:rPr>
            </w:pPr>
            <w:r>
              <w:rPr>
                <w:rFonts w:ascii="Times New Roman" w:hAnsi="Times New Roman" w:cs="Times New Roman"/>
                <w:sz w:val="28"/>
                <w:szCs w:val="28"/>
              </w:rPr>
              <w:t>п/п</w:t>
            </w:r>
          </w:p>
        </w:tc>
        <w:tc>
          <w:tcPr>
            <w:tcW w:w="4252" w:type="dxa"/>
            <w:tcBorders>
              <w:top w:val="single" w:sz="4" w:space="0" w:color="auto"/>
              <w:left w:val="single" w:sz="4" w:space="0" w:color="auto"/>
              <w:bottom w:val="single" w:sz="4" w:space="0" w:color="auto"/>
              <w:right w:val="single" w:sz="4" w:space="0" w:color="auto"/>
            </w:tcBorders>
          </w:tcPr>
          <w:p w:rsidR="00786289" w:rsidRDefault="00786289">
            <w:pPr>
              <w:pStyle w:val="ConsPlusNormal"/>
              <w:jc w:val="center"/>
              <w:rPr>
                <w:rFonts w:ascii="Times New Roman" w:hAnsi="Times New Roman" w:cs="Times New Roman"/>
                <w:sz w:val="28"/>
                <w:szCs w:val="28"/>
              </w:rPr>
            </w:pPr>
            <w:r>
              <w:rPr>
                <w:rFonts w:ascii="Times New Roman" w:hAnsi="Times New Roman" w:cs="Times New Roman"/>
                <w:sz w:val="28"/>
                <w:szCs w:val="28"/>
              </w:rPr>
              <w:t xml:space="preserve">Документ, на основании которого возникает бюджетное обязательство получателя средств бюджета </w:t>
            </w:r>
          </w:p>
        </w:tc>
        <w:tc>
          <w:tcPr>
            <w:tcW w:w="5528" w:type="dxa"/>
            <w:tcBorders>
              <w:top w:val="single" w:sz="4" w:space="0" w:color="auto"/>
              <w:left w:val="single" w:sz="4" w:space="0" w:color="auto"/>
              <w:bottom w:val="single" w:sz="4" w:space="0" w:color="auto"/>
            </w:tcBorders>
          </w:tcPr>
          <w:p w:rsidR="00786289" w:rsidRDefault="00786289">
            <w:pPr>
              <w:pStyle w:val="ConsPlusNormal"/>
              <w:jc w:val="center"/>
              <w:rPr>
                <w:rFonts w:ascii="Times New Roman" w:hAnsi="Times New Roman" w:cs="Times New Roman"/>
                <w:sz w:val="28"/>
                <w:szCs w:val="28"/>
              </w:rPr>
            </w:pPr>
            <w:r>
              <w:rPr>
                <w:rFonts w:ascii="Times New Roman" w:hAnsi="Times New Roman" w:cs="Times New Roman"/>
                <w:sz w:val="28"/>
                <w:szCs w:val="28"/>
              </w:rPr>
              <w:t xml:space="preserve">Документ, подтверждающий возникновение денежного обязательства получателя средств бюджета </w:t>
            </w:r>
          </w:p>
        </w:tc>
      </w:tr>
      <w:tr w:rsidR="00786289">
        <w:tc>
          <w:tcPr>
            <w:tcW w:w="567" w:type="dxa"/>
            <w:tcBorders>
              <w:top w:val="single" w:sz="4" w:space="0" w:color="auto"/>
              <w:bottom w:val="single" w:sz="4" w:space="0" w:color="auto"/>
              <w:right w:val="single" w:sz="4" w:space="0" w:color="auto"/>
            </w:tcBorders>
          </w:tcPr>
          <w:p w:rsidR="00786289" w:rsidRDefault="00786289">
            <w:pPr>
              <w:pStyle w:val="ConsPlusNormal"/>
              <w:jc w:val="center"/>
              <w:rPr>
                <w:rFonts w:ascii="Times New Roman" w:hAnsi="Times New Roman" w:cs="Times New Roman"/>
                <w:sz w:val="28"/>
                <w:szCs w:val="28"/>
              </w:rPr>
            </w:pPr>
            <w:r>
              <w:rPr>
                <w:rFonts w:ascii="Times New Roman" w:hAnsi="Times New Roman" w:cs="Times New Roman"/>
                <w:sz w:val="28"/>
                <w:szCs w:val="28"/>
              </w:rPr>
              <w:t>1</w:t>
            </w:r>
          </w:p>
        </w:tc>
        <w:tc>
          <w:tcPr>
            <w:tcW w:w="4252" w:type="dxa"/>
            <w:tcBorders>
              <w:top w:val="single" w:sz="4" w:space="0" w:color="auto"/>
              <w:left w:val="single" w:sz="4" w:space="0" w:color="auto"/>
              <w:bottom w:val="single" w:sz="4" w:space="0" w:color="auto"/>
              <w:right w:val="single" w:sz="4" w:space="0" w:color="auto"/>
            </w:tcBorders>
          </w:tcPr>
          <w:p w:rsidR="00786289" w:rsidRDefault="00786289">
            <w:pPr>
              <w:pStyle w:val="ConsPlusNormal"/>
              <w:jc w:val="center"/>
              <w:rPr>
                <w:rFonts w:ascii="Times New Roman" w:hAnsi="Times New Roman" w:cs="Times New Roman"/>
                <w:sz w:val="28"/>
                <w:szCs w:val="28"/>
              </w:rPr>
            </w:pPr>
            <w:r>
              <w:rPr>
                <w:rFonts w:ascii="Times New Roman" w:hAnsi="Times New Roman" w:cs="Times New Roman"/>
                <w:sz w:val="28"/>
                <w:szCs w:val="28"/>
              </w:rPr>
              <w:t>2</w:t>
            </w:r>
          </w:p>
        </w:tc>
        <w:tc>
          <w:tcPr>
            <w:tcW w:w="5528" w:type="dxa"/>
            <w:tcBorders>
              <w:top w:val="single" w:sz="4" w:space="0" w:color="auto"/>
              <w:left w:val="single" w:sz="4" w:space="0" w:color="auto"/>
              <w:bottom w:val="single" w:sz="4" w:space="0" w:color="auto"/>
            </w:tcBorders>
          </w:tcPr>
          <w:p w:rsidR="00786289" w:rsidRDefault="00786289">
            <w:pPr>
              <w:pStyle w:val="ConsPlusNormal"/>
              <w:jc w:val="center"/>
              <w:rPr>
                <w:rFonts w:ascii="Times New Roman" w:hAnsi="Times New Roman" w:cs="Times New Roman"/>
                <w:sz w:val="28"/>
                <w:szCs w:val="28"/>
              </w:rPr>
            </w:pPr>
            <w:r>
              <w:rPr>
                <w:rFonts w:ascii="Times New Roman" w:hAnsi="Times New Roman" w:cs="Times New Roman"/>
                <w:sz w:val="28"/>
                <w:szCs w:val="28"/>
              </w:rPr>
              <w:t>3</w:t>
            </w:r>
          </w:p>
        </w:tc>
      </w:tr>
      <w:tr w:rsidR="00786289">
        <w:tc>
          <w:tcPr>
            <w:tcW w:w="567" w:type="dxa"/>
            <w:tcBorders>
              <w:top w:val="single" w:sz="4" w:space="0" w:color="auto"/>
              <w:bottom w:val="single" w:sz="4" w:space="0" w:color="auto"/>
              <w:right w:val="single" w:sz="4" w:space="0" w:color="auto"/>
            </w:tcBorders>
          </w:tcPr>
          <w:p w:rsidR="00786289" w:rsidRDefault="00786289">
            <w:pPr>
              <w:pStyle w:val="ConsPlusNormal"/>
              <w:jc w:val="center"/>
              <w:rPr>
                <w:rFonts w:ascii="Times New Roman" w:hAnsi="Times New Roman" w:cs="Times New Roman"/>
                <w:sz w:val="28"/>
                <w:szCs w:val="28"/>
              </w:rPr>
            </w:pPr>
            <w:r>
              <w:rPr>
                <w:rFonts w:ascii="Times New Roman" w:hAnsi="Times New Roman" w:cs="Times New Roman"/>
                <w:sz w:val="28"/>
                <w:szCs w:val="28"/>
              </w:rPr>
              <w:t>1.</w:t>
            </w:r>
          </w:p>
        </w:tc>
        <w:tc>
          <w:tcPr>
            <w:tcW w:w="4252" w:type="dxa"/>
            <w:tcBorders>
              <w:top w:val="single" w:sz="4" w:space="0" w:color="auto"/>
              <w:left w:val="single" w:sz="4" w:space="0" w:color="auto"/>
              <w:bottom w:val="single" w:sz="4" w:space="0" w:color="auto"/>
              <w:right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 xml:space="preserve">Извещение об осуществлении закупки, за исключением извещений об осуществлении закупок, указанных в </w:t>
            </w:r>
            <w:hyperlink r:id="rId28" w:history="1">
              <w:r>
                <w:rPr>
                  <w:rStyle w:val="Hyperlink"/>
                  <w:rFonts w:ascii="Times New Roman" w:hAnsi="Times New Roman" w:cs="Times New Roman"/>
                  <w:sz w:val="28"/>
                  <w:szCs w:val="28"/>
                </w:rPr>
                <w:t>пункте 13</w:t>
              </w:r>
            </w:hyperlink>
            <w:r>
              <w:rPr>
                <w:rFonts w:ascii="Times New Roman" w:hAnsi="Times New Roman" w:cs="Times New Roman"/>
                <w:sz w:val="28"/>
                <w:szCs w:val="28"/>
              </w:rPr>
              <w:t xml:space="preserve"> настоящего перечня</w:t>
            </w: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Формирование денежного обязательства не предусматривается</w:t>
            </w:r>
          </w:p>
        </w:tc>
      </w:tr>
      <w:tr w:rsidR="00786289">
        <w:tc>
          <w:tcPr>
            <w:tcW w:w="567" w:type="dxa"/>
            <w:tcBorders>
              <w:top w:val="single" w:sz="4" w:space="0" w:color="auto"/>
              <w:bottom w:val="single" w:sz="4" w:space="0" w:color="auto"/>
              <w:right w:val="single" w:sz="4" w:space="0" w:color="auto"/>
            </w:tcBorders>
          </w:tcPr>
          <w:p w:rsidR="00786289" w:rsidRDefault="00786289">
            <w:pPr>
              <w:pStyle w:val="ConsPlusNormal"/>
              <w:jc w:val="center"/>
              <w:rPr>
                <w:rFonts w:ascii="Times New Roman" w:hAnsi="Times New Roman" w:cs="Times New Roman"/>
                <w:sz w:val="28"/>
                <w:szCs w:val="28"/>
              </w:rPr>
            </w:pPr>
            <w:r>
              <w:rPr>
                <w:rFonts w:ascii="Times New Roman" w:hAnsi="Times New Roman" w:cs="Times New Roman"/>
                <w:sz w:val="28"/>
                <w:szCs w:val="28"/>
              </w:rPr>
              <w:t>2.</w:t>
            </w:r>
          </w:p>
        </w:tc>
        <w:tc>
          <w:tcPr>
            <w:tcW w:w="4252" w:type="dxa"/>
            <w:tcBorders>
              <w:top w:val="single" w:sz="4" w:space="0" w:color="auto"/>
              <w:left w:val="single" w:sz="4" w:space="0" w:color="auto"/>
              <w:bottom w:val="single" w:sz="4" w:space="0" w:color="auto"/>
              <w:right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 xml:space="preserve">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w:t>
            </w:r>
            <w:hyperlink r:id="rId29" w:history="1">
              <w:r>
                <w:rPr>
                  <w:rStyle w:val="Hyperlink"/>
                  <w:rFonts w:ascii="Times New Roman" w:hAnsi="Times New Roman" w:cs="Times New Roman"/>
                  <w:sz w:val="28"/>
                  <w:szCs w:val="28"/>
                </w:rPr>
                <w:t>пункте 13</w:t>
              </w:r>
            </w:hyperlink>
            <w:r>
              <w:rPr>
                <w:rFonts w:ascii="Times New Roman" w:hAnsi="Times New Roman" w:cs="Times New Roman"/>
                <w:sz w:val="28"/>
                <w:szCs w:val="28"/>
              </w:rPr>
              <w:t xml:space="preserve"> настоящего перечня</w:t>
            </w: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Формирование денежного обязательства не предусматривается</w:t>
            </w:r>
          </w:p>
        </w:tc>
      </w:tr>
      <w:tr w:rsidR="00786289">
        <w:trPr>
          <w:cantSplit/>
        </w:trPr>
        <w:tc>
          <w:tcPr>
            <w:tcW w:w="567" w:type="dxa"/>
            <w:vMerge w:val="restart"/>
            <w:tcBorders>
              <w:top w:val="single" w:sz="4" w:space="0" w:color="auto"/>
              <w:bottom w:val="single" w:sz="4" w:space="0" w:color="auto"/>
              <w:right w:val="single" w:sz="4" w:space="0" w:color="auto"/>
            </w:tcBorders>
          </w:tcPr>
          <w:p w:rsidR="00786289" w:rsidRDefault="00786289">
            <w:pPr>
              <w:pStyle w:val="ConsPlusNormal"/>
              <w:jc w:val="center"/>
              <w:rPr>
                <w:rFonts w:ascii="Times New Roman" w:hAnsi="Times New Roman" w:cs="Times New Roman"/>
                <w:sz w:val="28"/>
                <w:szCs w:val="28"/>
              </w:rPr>
            </w:pPr>
            <w:r>
              <w:rPr>
                <w:rFonts w:ascii="Times New Roman" w:hAnsi="Times New Roman" w:cs="Times New Roman"/>
                <w:sz w:val="28"/>
                <w:szCs w:val="28"/>
              </w:rPr>
              <w:t>3.</w:t>
            </w:r>
          </w:p>
        </w:tc>
        <w:tc>
          <w:tcPr>
            <w:tcW w:w="4252" w:type="dxa"/>
            <w:vMerge w:val="restart"/>
            <w:tcBorders>
              <w:top w:val="single" w:sz="4" w:space="0" w:color="auto"/>
              <w:left w:val="single" w:sz="4" w:space="0" w:color="auto"/>
              <w:bottom w:val="single" w:sz="4" w:space="0" w:color="auto"/>
              <w:right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 xml:space="preserve">Муниципальный контракт (договор) на поставку товаров, выполнение работ, оказание услуг для обеспечения муниципальных нужд,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указанных в </w:t>
            </w:r>
            <w:hyperlink r:id="rId30" w:history="1">
              <w:r>
                <w:rPr>
                  <w:rStyle w:val="Hyperlink"/>
                  <w:rFonts w:ascii="Times New Roman" w:hAnsi="Times New Roman" w:cs="Times New Roman"/>
                  <w:sz w:val="28"/>
                  <w:szCs w:val="28"/>
                </w:rPr>
                <w:t>пункте 13</w:t>
              </w:r>
            </w:hyperlink>
            <w:r>
              <w:rPr>
                <w:rFonts w:ascii="Times New Roman" w:hAnsi="Times New Roman" w:cs="Times New Roman"/>
                <w:sz w:val="28"/>
                <w:szCs w:val="28"/>
              </w:rPr>
              <w:t xml:space="preserve"> настоящего перечня</w:t>
            </w: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Акт выполненных работ</w:t>
            </w:r>
          </w:p>
        </w:tc>
      </w:tr>
      <w:tr w:rsidR="00786289">
        <w:trPr>
          <w:cantSplit/>
        </w:trPr>
        <w:tc>
          <w:tcPr>
            <w:tcW w:w="567" w:type="dxa"/>
            <w:vMerge/>
            <w:tcBorders>
              <w:top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Акт приема-передачи</w:t>
            </w:r>
          </w:p>
        </w:tc>
      </w:tr>
      <w:tr w:rsidR="00786289">
        <w:trPr>
          <w:cantSplit/>
        </w:trPr>
        <w:tc>
          <w:tcPr>
            <w:tcW w:w="567" w:type="dxa"/>
            <w:vMerge/>
            <w:tcBorders>
              <w:top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Акт об оказании услуг</w:t>
            </w:r>
          </w:p>
        </w:tc>
      </w:tr>
      <w:tr w:rsidR="00786289">
        <w:trPr>
          <w:cantSplit/>
        </w:trPr>
        <w:tc>
          <w:tcPr>
            <w:tcW w:w="567" w:type="dxa"/>
            <w:vMerge/>
            <w:tcBorders>
              <w:top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Муниципальный контракт (в случае осуществления авансовых платежей в соответствии с условиями государственного контракта)</w:t>
            </w:r>
          </w:p>
        </w:tc>
      </w:tr>
      <w:tr w:rsidR="00786289">
        <w:trPr>
          <w:cantSplit/>
        </w:trPr>
        <w:tc>
          <w:tcPr>
            <w:tcW w:w="567" w:type="dxa"/>
            <w:vMerge/>
            <w:tcBorders>
              <w:top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Справка-расчет или иной документ, являющийся основанием для оплаты неустойки</w:t>
            </w:r>
          </w:p>
        </w:tc>
      </w:tr>
      <w:tr w:rsidR="00786289">
        <w:trPr>
          <w:cantSplit/>
        </w:trPr>
        <w:tc>
          <w:tcPr>
            <w:tcW w:w="567" w:type="dxa"/>
            <w:vMerge/>
            <w:tcBorders>
              <w:top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Счет</w:t>
            </w:r>
          </w:p>
        </w:tc>
      </w:tr>
      <w:tr w:rsidR="00786289">
        <w:trPr>
          <w:cantSplit/>
        </w:trPr>
        <w:tc>
          <w:tcPr>
            <w:tcW w:w="567" w:type="dxa"/>
            <w:vMerge/>
            <w:tcBorders>
              <w:top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Счет-фактура</w:t>
            </w:r>
          </w:p>
        </w:tc>
      </w:tr>
      <w:tr w:rsidR="00786289">
        <w:trPr>
          <w:cantSplit/>
        </w:trPr>
        <w:tc>
          <w:tcPr>
            <w:tcW w:w="567" w:type="dxa"/>
            <w:vMerge/>
            <w:tcBorders>
              <w:top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Товарная накладная (унифицированная форма N ТОРГ-12) (ф. 0330212)</w:t>
            </w:r>
          </w:p>
        </w:tc>
      </w:tr>
      <w:tr w:rsidR="00786289">
        <w:trPr>
          <w:cantSplit/>
        </w:trPr>
        <w:tc>
          <w:tcPr>
            <w:tcW w:w="567" w:type="dxa"/>
            <w:vMerge/>
            <w:tcBorders>
              <w:top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Универсальный передаточный документ</w:t>
            </w:r>
          </w:p>
        </w:tc>
      </w:tr>
      <w:tr w:rsidR="00786289">
        <w:trPr>
          <w:cantSplit/>
        </w:trPr>
        <w:tc>
          <w:tcPr>
            <w:tcW w:w="567" w:type="dxa"/>
            <w:vMerge/>
            <w:tcBorders>
              <w:top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Чек</w:t>
            </w:r>
          </w:p>
        </w:tc>
      </w:tr>
      <w:tr w:rsidR="00786289">
        <w:trPr>
          <w:cantSplit/>
        </w:trPr>
        <w:tc>
          <w:tcPr>
            <w:tcW w:w="567" w:type="dxa"/>
            <w:vMerge/>
            <w:tcBorders>
              <w:top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бюджета, возникшему на основании муниципального контракта  </w:t>
            </w:r>
          </w:p>
        </w:tc>
      </w:tr>
      <w:tr w:rsidR="00786289">
        <w:trPr>
          <w:cantSplit/>
        </w:trPr>
        <w:tc>
          <w:tcPr>
            <w:tcW w:w="567" w:type="dxa"/>
            <w:vMerge w:val="restart"/>
            <w:tcBorders>
              <w:top w:val="single" w:sz="4" w:space="0" w:color="auto"/>
              <w:bottom w:val="single" w:sz="4" w:space="0" w:color="auto"/>
              <w:right w:val="single" w:sz="4" w:space="0" w:color="auto"/>
            </w:tcBorders>
          </w:tcPr>
          <w:p w:rsidR="00786289" w:rsidRDefault="00786289">
            <w:pPr>
              <w:pStyle w:val="ConsPlusNormal"/>
              <w:jc w:val="center"/>
              <w:rPr>
                <w:rFonts w:ascii="Times New Roman" w:hAnsi="Times New Roman" w:cs="Times New Roman"/>
                <w:sz w:val="28"/>
                <w:szCs w:val="28"/>
              </w:rPr>
            </w:pPr>
            <w:r>
              <w:rPr>
                <w:rFonts w:ascii="Times New Roman" w:hAnsi="Times New Roman" w:cs="Times New Roman"/>
                <w:sz w:val="28"/>
                <w:szCs w:val="28"/>
              </w:rPr>
              <w:t>4.</w:t>
            </w:r>
          </w:p>
        </w:tc>
        <w:tc>
          <w:tcPr>
            <w:tcW w:w="4252" w:type="dxa"/>
            <w:vMerge w:val="restart"/>
            <w:tcBorders>
              <w:top w:val="single" w:sz="4" w:space="0" w:color="auto"/>
              <w:left w:val="single" w:sz="4" w:space="0" w:color="auto"/>
              <w:bottom w:val="single" w:sz="4" w:space="0" w:color="auto"/>
              <w:right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 xml:space="preserve">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за исключением договоров, указанных в </w:t>
            </w:r>
            <w:hyperlink r:id="rId31" w:history="1">
              <w:r>
                <w:rPr>
                  <w:rStyle w:val="Hyperlink"/>
                  <w:rFonts w:ascii="Times New Roman" w:hAnsi="Times New Roman" w:cs="Times New Roman"/>
                  <w:sz w:val="28"/>
                  <w:szCs w:val="28"/>
                </w:rPr>
                <w:t>13 пункте</w:t>
              </w:r>
            </w:hyperlink>
            <w:r>
              <w:rPr>
                <w:rFonts w:ascii="Times New Roman" w:hAnsi="Times New Roman" w:cs="Times New Roman"/>
                <w:sz w:val="28"/>
                <w:szCs w:val="28"/>
              </w:rPr>
              <w:t xml:space="preserve"> настоящего перечня</w:t>
            </w: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Акт выполненных работ</w:t>
            </w:r>
          </w:p>
        </w:tc>
      </w:tr>
      <w:tr w:rsidR="00786289">
        <w:trPr>
          <w:cantSplit/>
        </w:trPr>
        <w:tc>
          <w:tcPr>
            <w:tcW w:w="567" w:type="dxa"/>
            <w:vMerge/>
            <w:tcBorders>
              <w:top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Акт об оказании услуг</w:t>
            </w:r>
          </w:p>
        </w:tc>
      </w:tr>
      <w:tr w:rsidR="00786289">
        <w:trPr>
          <w:cantSplit/>
        </w:trPr>
        <w:tc>
          <w:tcPr>
            <w:tcW w:w="567" w:type="dxa"/>
            <w:vMerge/>
            <w:tcBorders>
              <w:top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Акт приема-передачи</w:t>
            </w:r>
          </w:p>
        </w:tc>
      </w:tr>
      <w:tr w:rsidR="00786289">
        <w:trPr>
          <w:cantSplit/>
        </w:trPr>
        <w:tc>
          <w:tcPr>
            <w:tcW w:w="567" w:type="dxa"/>
            <w:vMerge/>
            <w:tcBorders>
              <w:top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Муниципальный контракт (в случае осуществления авансовых платежей в соответствии с условиями государственного контракта)</w:t>
            </w:r>
          </w:p>
        </w:tc>
      </w:tr>
      <w:tr w:rsidR="00786289">
        <w:trPr>
          <w:cantSplit/>
        </w:trPr>
        <w:tc>
          <w:tcPr>
            <w:tcW w:w="567" w:type="dxa"/>
            <w:vMerge/>
            <w:tcBorders>
              <w:top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Справка-расчет или иной документ, являющийся основанием для оплаты неустойки</w:t>
            </w:r>
          </w:p>
        </w:tc>
      </w:tr>
      <w:tr w:rsidR="00786289">
        <w:trPr>
          <w:cantSplit/>
        </w:trPr>
        <w:tc>
          <w:tcPr>
            <w:tcW w:w="567" w:type="dxa"/>
            <w:vMerge/>
            <w:tcBorders>
              <w:top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Счет</w:t>
            </w:r>
          </w:p>
        </w:tc>
      </w:tr>
      <w:tr w:rsidR="00786289">
        <w:trPr>
          <w:cantSplit/>
        </w:trPr>
        <w:tc>
          <w:tcPr>
            <w:tcW w:w="567" w:type="dxa"/>
            <w:vMerge/>
            <w:tcBorders>
              <w:top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Счет-фактура</w:t>
            </w:r>
          </w:p>
        </w:tc>
      </w:tr>
      <w:tr w:rsidR="00786289">
        <w:trPr>
          <w:cantSplit/>
        </w:trPr>
        <w:tc>
          <w:tcPr>
            <w:tcW w:w="567" w:type="dxa"/>
            <w:vMerge/>
            <w:tcBorders>
              <w:top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Товарная накладная (унифицированная форма N ТОРГ-12) (ф. 0330212)</w:t>
            </w:r>
          </w:p>
        </w:tc>
      </w:tr>
      <w:tr w:rsidR="00786289">
        <w:trPr>
          <w:cantSplit/>
        </w:trPr>
        <w:tc>
          <w:tcPr>
            <w:tcW w:w="567" w:type="dxa"/>
            <w:vMerge/>
            <w:tcBorders>
              <w:top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Универсальный передаточный документ</w:t>
            </w:r>
          </w:p>
        </w:tc>
      </w:tr>
      <w:tr w:rsidR="00786289">
        <w:trPr>
          <w:cantSplit/>
        </w:trPr>
        <w:tc>
          <w:tcPr>
            <w:tcW w:w="567" w:type="dxa"/>
            <w:vMerge/>
            <w:tcBorders>
              <w:top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Чек</w:t>
            </w:r>
          </w:p>
        </w:tc>
      </w:tr>
      <w:tr w:rsidR="00786289">
        <w:trPr>
          <w:cantSplit/>
        </w:trPr>
        <w:tc>
          <w:tcPr>
            <w:tcW w:w="567" w:type="dxa"/>
            <w:vMerge/>
            <w:tcBorders>
              <w:top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государственного контракта</w:t>
            </w:r>
          </w:p>
        </w:tc>
      </w:tr>
      <w:tr w:rsidR="00786289">
        <w:trPr>
          <w:cantSplit/>
        </w:trPr>
        <w:tc>
          <w:tcPr>
            <w:tcW w:w="567" w:type="dxa"/>
            <w:vMerge w:val="restart"/>
            <w:tcBorders>
              <w:top w:val="single" w:sz="4" w:space="0" w:color="auto"/>
              <w:bottom w:val="single" w:sz="4" w:space="0" w:color="auto"/>
              <w:right w:val="single" w:sz="4" w:space="0" w:color="auto"/>
            </w:tcBorders>
          </w:tcPr>
          <w:p w:rsidR="00786289" w:rsidRDefault="00786289">
            <w:pPr>
              <w:pStyle w:val="ConsPlusNormal"/>
              <w:jc w:val="center"/>
              <w:rPr>
                <w:rFonts w:ascii="Times New Roman" w:hAnsi="Times New Roman" w:cs="Times New Roman"/>
                <w:sz w:val="28"/>
                <w:szCs w:val="28"/>
              </w:rPr>
            </w:pPr>
            <w:r>
              <w:rPr>
                <w:rFonts w:ascii="Times New Roman" w:hAnsi="Times New Roman" w:cs="Times New Roman"/>
                <w:sz w:val="28"/>
                <w:szCs w:val="28"/>
              </w:rPr>
              <w:t>5.</w:t>
            </w:r>
          </w:p>
        </w:tc>
        <w:tc>
          <w:tcPr>
            <w:tcW w:w="4252" w:type="dxa"/>
            <w:vMerge w:val="restart"/>
            <w:tcBorders>
              <w:top w:val="single" w:sz="4" w:space="0" w:color="auto"/>
              <w:left w:val="single" w:sz="4" w:space="0" w:color="auto"/>
              <w:bottom w:val="single" w:sz="4" w:space="0" w:color="auto"/>
              <w:right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Соглашение о предоставлении из бюджета Курташкинского сельского поселения Атюрьевского муниципального района Республики Мордовия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w:t>
            </w: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График перечисления межбюджетного трансферта, предусмотренный соглашением о предоставлении межбюджетного трансферта</w:t>
            </w:r>
          </w:p>
        </w:tc>
      </w:tr>
      <w:tr w:rsidR="00786289">
        <w:trPr>
          <w:cantSplit/>
        </w:trPr>
        <w:tc>
          <w:tcPr>
            <w:tcW w:w="567" w:type="dxa"/>
            <w:vMerge/>
            <w:tcBorders>
              <w:top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Заявка о перечислении межбюджетного трансферта из бюджета Курташкинского сельского поселения Атюрьевского муниципального района Республики Мордовия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786289">
        <w:trPr>
          <w:cantSplit/>
        </w:trPr>
        <w:tc>
          <w:tcPr>
            <w:tcW w:w="567" w:type="dxa"/>
            <w:vMerge/>
            <w:tcBorders>
              <w:top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786289">
        <w:trPr>
          <w:cantSplit/>
        </w:trPr>
        <w:tc>
          <w:tcPr>
            <w:tcW w:w="567" w:type="dxa"/>
            <w:vMerge/>
            <w:tcBorders>
              <w:top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 Курташкинского сельского поселения Атюрьевского муниципального района Республики Мордовия, возникшему на основании соглашения о предоставлении межбюджетного трансферта в форме субсидии, субвенции, иного межбюджетного трансферта, имеющего целевое назначение</w:t>
            </w:r>
          </w:p>
        </w:tc>
      </w:tr>
      <w:tr w:rsidR="00786289">
        <w:trPr>
          <w:cantSplit/>
        </w:trPr>
        <w:tc>
          <w:tcPr>
            <w:tcW w:w="567" w:type="dxa"/>
            <w:vMerge/>
            <w:tcBorders>
              <w:top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Платежные документы, подтверждающие осуществление расходов бюджетов муниципальных образований по исполнению расходных обязательств муниципальных образований, в целях возмещения которых из бюджета Курташкинского сельского поселения Атюрьевского муниципального района Республики Мордовия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786289">
        <w:trPr>
          <w:cantSplit/>
        </w:trPr>
        <w:tc>
          <w:tcPr>
            <w:tcW w:w="567" w:type="dxa"/>
            <w:vMerge w:val="restart"/>
            <w:tcBorders>
              <w:top w:val="single" w:sz="4" w:space="0" w:color="auto"/>
              <w:bottom w:val="single" w:sz="4" w:space="0" w:color="auto"/>
              <w:right w:val="single" w:sz="4" w:space="0" w:color="auto"/>
            </w:tcBorders>
          </w:tcPr>
          <w:p w:rsidR="00786289" w:rsidRDefault="00786289">
            <w:pPr>
              <w:pStyle w:val="ConsPlusNormal"/>
              <w:jc w:val="center"/>
              <w:rPr>
                <w:rFonts w:ascii="Times New Roman" w:hAnsi="Times New Roman" w:cs="Times New Roman"/>
                <w:sz w:val="28"/>
                <w:szCs w:val="28"/>
              </w:rPr>
            </w:pPr>
            <w:r>
              <w:rPr>
                <w:rFonts w:ascii="Times New Roman" w:hAnsi="Times New Roman" w:cs="Times New Roman"/>
                <w:sz w:val="28"/>
                <w:szCs w:val="28"/>
              </w:rPr>
              <w:t>6.</w:t>
            </w:r>
          </w:p>
        </w:tc>
        <w:tc>
          <w:tcPr>
            <w:tcW w:w="4252" w:type="dxa"/>
            <w:vMerge w:val="restart"/>
            <w:tcBorders>
              <w:top w:val="single" w:sz="4" w:space="0" w:color="auto"/>
              <w:left w:val="single" w:sz="4" w:space="0" w:color="auto"/>
              <w:bottom w:val="single" w:sz="4" w:space="0" w:color="auto"/>
              <w:right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 xml:space="preserve">Правовой акт, предусматривающий предоставление из бюджета Курташкинского сельского поселения Атюрьевского муниципального района Республики Мордовия бюджетам муниципальных образований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правовой акт о предоставлении межбюджетного трансферта), за исключением правовых актов, указанных в </w:t>
            </w:r>
            <w:hyperlink r:id="rId32" w:history="1">
              <w:r>
                <w:rPr>
                  <w:rStyle w:val="Hyperlink"/>
                  <w:rFonts w:ascii="Times New Roman" w:hAnsi="Times New Roman" w:cs="Times New Roman"/>
                  <w:sz w:val="28"/>
                  <w:szCs w:val="28"/>
                </w:rPr>
                <w:t>пункте 13</w:t>
              </w:r>
            </w:hyperlink>
            <w:r>
              <w:rPr>
                <w:rFonts w:ascii="Times New Roman" w:hAnsi="Times New Roman" w:cs="Times New Roman"/>
                <w:sz w:val="28"/>
                <w:szCs w:val="28"/>
              </w:rPr>
              <w:t xml:space="preserve"> настоящего перечня</w:t>
            </w: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Заявка о перечислении межбюджетного трансферта из бюджета Курташкинского сельского поселения Атюрьевского муниципального района Республики Мордовия бюджетам муниципальных образований по форме, установленной в соответствии с порядком (правилами) предоставления межбюджетного трансферта</w:t>
            </w:r>
          </w:p>
        </w:tc>
      </w:tr>
      <w:tr w:rsidR="00786289">
        <w:trPr>
          <w:cantSplit/>
        </w:trPr>
        <w:tc>
          <w:tcPr>
            <w:tcW w:w="567" w:type="dxa"/>
            <w:vMerge/>
            <w:tcBorders>
              <w:top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786289">
        <w:trPr>
          <w:cantSplit/>
        </w:trPr>
        <w:tc>
          <w:tcPr>
            <w:tcW w:w="567" w:type="dxa"/>
            <w:vMerge/>
            <w:tcBorders>
              <w:top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 Курташкинского сельского поселения Атюрьевского муниципального района Республики Мордовия, возникшему на основании правового акта о предоставлении межбюджетного трансферта</w:t>
            </w:r>
          </w:p>
        </w:tc>
      </w:tr>
      <w:tr w:rsidR="00786289">
        <w:trPr>
          <w:cantSplit/>
        </w:trPr>
        <w:tc>
          <w:tcPr>
            <w:tcW w:w="567" w:type="dxa"/>
            <w:vMerge w:val="restart"/>
            <w:tcBorders>
              <w:top w:val="single" w:sz="4" w:space="0" w:color="auto"/>
              <w:bottom w:val="single" w:sz="4" w:space="0" w:color="auto"/>
              <w:right w:val="single" w:sz="4" w:space="0" w:color="auto"/>
            </w:tcBorders>
          </w:tcPr>
          <w:p w:rsidR="00786289" w:rsidRDefault="00786289">
            <w:pPr>
              <w:pStyle w:val="ConsPlusNormal"/>
              <w:jc w:val="center"/>
              <w:rPr>
                <w:rFonts w:ascii="Times New Roman" w:hAnsi="Times New Roman" w:cs="Times New Roman"/>
                <w:sz w:val="28"/>
                <w:szCs w:val="28"/>
              </w:rPr>
            </w:pPr>
            <w:r>
              <w:rPr>
                <w:rFonts w:ascii="Times New Roman" w:hAnsi="Times New Roman" w:cs="Times New Roman"/>
                <w:sz w:val="28"/>
                <w:szCs w:val="28"/>
              </w:rPr>
              <w:t>7.</w:t>
            </w:r>
          </w:p>
        </w:tc>
        <w:tc>
          <w:tcPr>
            <w:tcW w:w="4252" w:type="dxa"/>
            <w:vMerge w:val="restart"/>
            <w:tcBorders>
              <w:top w:val="single" w:sz="4" w:space="0" w:color="auto"/>
              <w:left w:val="single" w:sz="4" w:space="0" w:color="auto"/>
              <w:bottom w:val="single" w:sz="4" w:space="0" w:color="auto"/>
              <w:right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 xml:space="preserve">Договор (соглашение) о предоставлении субсидии бюджетному или автономному учреждению </w:t>
            </w: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 xml:space="preserve">График перечисления субсидии, предусмотренный договором (соглашением) о предоставлении субсидии бюджетному или автономному учреждению </w:t>
            </w:r>
          </w:p>
        </w:tc>
      </w:tr>
      <w:tr w:rsidR="00786289">
        <w:trPr>
          <w:cantSplit/>
        </w:trPr>
        <w:tc>
          <w:tcPr>
            <w:tcW w:w="567" w:type="dxa"/>
            <w:vMerge/>
            <w:tcBorders>
              <w:top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бюджета Курташкинского сельского поселения Атюрьевского муниципального района Республики Мордовия, возникшему на основании договора (соглашения) о предоставлении субсидии бюджетному или автономному учреждению </w:t>
            </w:r>
          </w:p>
        </w:tc>
      </w:tr>
      <w:tr w:rsidR="00786289">
        <w:trPr>
          <w:cantSplit/>
        </w:trPr>
        <w:tc>
          <w:tcPr>
            <w:tcW w:w="567" w:type="dxa"/>
            <w:vMerge w:val="restart"/>
            <w:tcBorders>
              <w:top w:val="single" w:sz="4" w:space="0" w:color="auto"/>
              <w:bottom w:val="single" w:sz="4" w:space="0" w:color="auto"/>
              <w:right w:val="single" w:sz="4" w:space="0" w:color="auto"/>
            </w:tcBorders>
          </w:tcPr>
          <w:p w:rsidR="00786289" w:rsidRDefault="00786289">
            <w:pPr>
              <w:pStyle w:val="ConsPlusNormal"/>
              <w:jc w:val="center"/>
              <w:rPr>
                <w:rFonts w:ascii="Times New Roman" w:hAnsi="Times New Roman" w:cs="Times New Roman"/>
                <w:sz w:val="28"/>
                <w:szCs w:val="28"/>
              </w:rPr>
            </w:pPr>
            <w:r>
              <w:rPr>
                <w:rFonts w:ascii="Times New Roman" w:hAnsi="Times New Roman" w:cs="Times New Roman"/>
                <w:sz w:val="28"/>
                <w:szCs w:val="28"/>
              </w:rPr>
              <w:t>8.</w:t>
            </w:r>
          </w:p>
        </w:tc>
        <w:tc>
          <w:tcPr>
            <w:tcW w:w="4252" w:type="dxa"/>
            <w:vMerge w:val="restart"/>
            <w:tcBorders>
              <w:top w:val="single" w:sz="4" w:space="0" w:color="auto"/>
              <w:left w:val="single" w:sz="4" w:space="0" w:color="auto"/>
              <w:bottom w:val="single" w:sz="4" w:space="0" w:color="auto"/>
              <w:right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 xml:space="preserve">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 за исключением договоров (соглашений), указанных в </w:t>
            </w:r>
            <w:hyperlink r:id="rId33" w:history="1">
              <w:r>
                <w:rPr>
                  <w:rStyle w:val="Hyperlink"/>
                  <w:rFonts w:ascii="Times New Roman" w:hAnsi="Times New Roman" w:cs="Times New Roman"/>
                  <w:sz w:val="28"/>
                  <w:szCs w:val="28"/>
                </w:rPr>
                <w:t>пункте 13</w:t>
              </w:r>
            </w:hyperlink>
            <w:r>
              <w:rPr>
                <w:rFonts w:ascii="Times New Roman" w:hAnsi="Times New Roman" w:cs="Times New Roman"/>
                <w:sz w:val="28"/>
                <w:szCs w:val="28"/>
              </w:rPr>
              <w:t xml:space="preserve"> настоящего перечня</w:t>
            </w: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Акт выполненных работ</w:t>
            </w:r>
          </w:p>
        </w:tc>
      </w:tr>
      <w:tr w:rsidR="00786289">
        <w:trPr>
          <w:cantSplit/>
        </w:trPr>
        <w:tc>
          <w:tcPr>
            <w:tcW w:w="567" w:type="dxa"/>
            <w:vMerge/>
            <w:tcBorders>
              <w:top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Акт об оказании услуг</w:t>
            </w:r>
          </w:p>
        </w:tc>
      </w:tr>
      <w:tr w:rsidR="00786289">
        <w:trPr>
          <w:cantSplit/>
        </w:trPr>
        <w:tc>
          <w:tcPr>
            <w:tcW w:w="567" w:type="dxa"/>
            <w:vMerge/>
            <w:tcBorders>
              <w:top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Акт приема-передачи</w:t>
            </w:r>
          </w:p>
        </w:tc>
      </w:tr>
      <w:tr w:rsidR="00786289">
        <w:trPr>
          <w:cantSplit/>
        </w:trPr>
        <w:tc>
          <w:tcPr>
            <w:tcW w:w="567" w:type="dxa"/>
            <w:vMerge/>
            <w:tcBorders>
              <w:top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786289">
        <w:trPr>
          <w:cantSplit/>
        </w:trPr>
        <w:tc>
          <w:tcPr>
            <w:tcW w:w="567" w:type="dxa"/>
            <w:vMerge/>
            <w:tcBorders>
              <w:top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786289">
        <w:trPr>
          <w:cantSplit/>
        </w:trPr>
        <w:tc>
          <w:tcPr>
            <w:tcW w:w="567" w:type="dxa"/>
            <w:vMerge/>
            <w:tcBorders>
              <w:top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Справка-расчет или иной документ, являющийся основанием для оплаты неустойки</w:t>
            </w:r>
          </w:p>
        </w:tc>
      </w:tr>
      <w:tr w:rsidR="00786289">
        <w:trPr>
          <w:cantSplit/>
        </w:trPr>
        <w:tc>
          <w:tcPr>
            <w:tcW w:w="567" w:type="dxa"/>
            <w:vMerge/>
            <w:tcBorders>
              <w:top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Счет</w:t>
            </w:r>
          </w:p>
        </w:tc>
      </w:tr>
      <w:tr w:rsidR="00786289">
        <w:trPr>
          <w:cantSplit/>
        </w:trPr>
        <w:tc>
          <w:tcPr>
            <w:tcW w:w="567" w:type="dxa"/>
            <w:vMerge/>
            <w:tcBorders>
              <w:top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Счет-фактура</w:t>
            </w:r>
          </w:p>
        </w:tc>
      </w:tr>
      <w:tr w:rsidR="00786289">
        <w:trPr>
          <w:cantSplit/>
        </w:trPr>
        <w:tc>
          <w:tcPr>
            <w:tcW w:w="567" w:type="dxa"/>
            <w:vMerge/>
            <w:tcBorders>
              <w:top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Товарная накладная (унифицированная форма N ТОРГ-12) (ф. 0330212)</w:t>
            </w:r>
          </w:p>
        </w:tc>
      </w:tr>
      <w:tr w:rsidR="00786289">
        <w:trPr>
          <w:cantSplit/>
        </w:trPr>
        <w:tc>
          <w:tcPr>
            <w:tcW w:w="567" w:type="dxa"/>
            <w:vMerge/>
            <w:tcBorders>
              <w:top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Чек</w:t>
            </w:r>
          </w:p>
        </w:tc>
      </w:tr>
      <w:tr w:rsidR="00786289">
        <w:trPr>
          <w:cantSplit/>
        </w:trPr>
        <w:tc>
          <w:tcPr>
            <w:tcW w:w="567" w:type="dxa"/>
            <w:vMerge/>
            <w:tcBorders>
              <w:top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отчет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реестр платежей к оплате, сформированный в соответствии с порядком (правилами) предоставления субсидии;</w:t>
            </w:r>
          </w:p>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или индивидуальному предпринимателю или физическому лицу - производителю товаров, работ, услуг) (при наличии)</w:t>
            </w:r>
          </w:p>
        </w:tc>
      </w:tr>
      <w:tr w:rsidR="00786289">
        <w:trPr>
          <w:cantSplit/>
        </w:trPr>
        <w:tc>
          <w:tcPr>
            <w:tcW w:w="567" w:type="dxa"/>
            <w:vMerge/>
            <w:tcBorders>
              <w:top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 Курташкинского сельского поселения Атюрьевского муниципального района Республики Мордовия, возникшему на основании договора (соглашения) о 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r>
      <w:tr w:rsidR="00786289">
        <w:trPr>
          <w:cantSplit/>
        </w:trPr>
        <w:tc>
          <w:tcPr>
            <w:tcW w:w="567" w:type="dxa"/>
            <w:vMerge w:val="restart"/>
            <w:tcBorders>
              <w:top w:val="single" w:sz="4" w:space="0" w:color="auto"/>
              <w:bottom w:val="single" w:sz="4" w:space="0" w:color="auto"/>
              <w:right w:val="single" w:sz="4" w:space="0" w:color="auto"/>
            </w:tcBorders>
          </w:tcPr>
          <w:p w:rsidR="00786289" w:rsidRDefault="00786289">
            <w:pPr>
              <w:pStyle w:val="ConsPlusNormal"/>
              <w:jc w:val="center"/>
              <w:rPr>
                <w:rFonts w:ascii="Times New Roman" w:hAnsi="Times New Roman" w:cs="Times New Roman"/>
                <w:sz w:val="28"/>
                <w:szCs w:val="28"/>
              </w:rPr>
            </w:pPr>
            <w:r>
              <w:rPr>
                <w:rFonts w:ascii="Times New Roman" w:hAnsi="Times New Roman" w:cs="Times New Roman"/>
                <w:sz w:val="28"/>
                <w:szCs w:val="28"/>
              </w:rPr>
              <w:t>9.</w:t>
            </w:r>
          </w:p>
        </w:tc>
        <w:tc>
          <w:tcPr>
            <w:tcW w:w="4252" w:type="dxa"/>
            <w:vMerge w:val="restart"/>
            <w:tcBorders>
              <w:top w:val="single" w:sz="4" w:space="0" w:color="auto"/>
              <w:left w:val="single" w:sz="4" w:space="0" w:color="auto"/>
              <w:bottom w:val="single" w:sz="4" w:space="0" w:color="auto"/>
              <w:right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предоставлении субсидии юридическому лицу)</w:t>
            </w: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786289">
        <w:trPr>
          <w:cantSplit/>
        </w:trPr>
        <w:tc>
          <w:tcPr>
            <w:tcW w:w="567" w:type="dxa"/>
            <w:vMerge/>
            <w:tcBorders>
              <w:top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В случае предоставления субсидии юридическому лицу на возмещение фактически произведенных расходов (недополученных доходов):</w:t>
            </w:r>
          </w:p>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заявка на перечисление субсидии юридическому лицу (при наличии)</w:t>
            </w:r>
          </w:p>
        </w:tc>
      </w:tr>
      <w:tr w:rsidR="00786289">
        <w:trPr>
          <w:cantSplit/>
        </w:trPr>
        <w:tc>
          <w:tcPr>
            <w:tcW w:w="567" w:type="dxa"/>
            <w:vMerge/>
            <w:tcBorders>
              <w:top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 Курташкинского сельского поселения Атюрьевского муниципального района Республики Мордовия, возникшему на основании правового акта о предоставлении субсидии юридическому лицу</w:t>
            </w:r>
          </w:p>
        </w:tc>
      </w:tr>
      <w:tr w:rsidR="00786289">
        <w:trPr>
          <w:cantSplit/>
        </w:trPr>
        <w:tc>
          <w:tcPr>
            <w:tcW w:w="567" w:type="dxa"/>
            <w:vMerge w:val="restart"/>
            <w:tcBorders>
              <w:top w:val="single" w:sz="4" w:space="0" w:color="auto"/>
              <w:bottom w:val="single" w:sz="4" w:space="0" w:color="auto"/>
              <w:right w:val="single" w:sz="4" w:space="0" w:color="auto"/>
            </w:tcBorders>
          </w:tcPr>
          <w:p w:rsidR="00786289" w:rsidRDefault="00786289">
            <w:pPr>
              <w:pStyle w:val="ConsPlusNormal"/>
              <w:jc w:val="center"/>
              <w:rPr>
                <w:rFonts w:ascii="Times New Roman" w:hAnsi="Times New Roman" w:cs="Times New Roman"/>
                <w:sz w:val="28"/>
                <w:szCs w:val="28"/>
              </w:rPr>
            </w:pPr>
            <w:r>
              <w:rPr>
                <w:rFonts w:ascii="Times New Roman" w:hAnsi="Times New Roman" w:cs="Times New Roman"/>
                <w:sz w:val="28"/>
                <w:szCs w:val="28"/>
              </w:rPr>
              <w:t>10.</w:t>
            </w:r>
          </w:p>
        </w:tc>
        <w:tc>
          <w:tcPr>
            <w:tcW w:w="4252" w:type="dxa"/>
            <w:vMerge w:val="restart"/>
            <w:tcBorders>
              <w:top w:val="single" w:sz="4" w:space="0" w:color="auto"/>
              <w:left w:val="single" w:sz="4" w:space="0" w:color="auto"/>
              <w:bottom w:val="single" w:sz="4" w:space="0" w:color="auto"/>
              <w:right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Приказ об утверждении Штатного расписания с расчетом годового фонда оплаты труда</w:t>
            </w: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Записка-расчет об исчислении среднего заработка при предоставлении отпуска, увольнении и других случаях (ф. 0504425)</w:t>
            </w:r>
          </w:p>
        </w:tc>
      </w:tr>
      <w:tr w:rsidR="00786289">
        <w:trPr>
          <w:cantSplit/>
        </w:trPr>
        <w:tc>
          <w:tcPr>
            <w:tcW w:w="567" w:type="dxa"/>
            <w:vMerge/>
            <w:tcBorders>
              <w:top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Расчетно-платежная ведомость (ф. 0504401)</w:t>
            </w:r>
          </w:p>
        </w:tc>
      </w:tr>
      <w:tr w:rsidR="00786289">
        <w:trPr>
          <w:cantSplit/>
        </w:trPr>
        <w:tc>
          <w:tcPr>
            <w:tcW w:w="567" w:type="dxa"/>
            <w:vMerge/>
            <w:tcBorders>
              <w:top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Расчетная ведомость (ф. 0504402)</w:t>
            </w:r>
          </w:p>
        </w:tc>
      </w:tr>
      <w:tr w:rsidR="00786289">
        <w:trPr>
          <w:cantSplit/>
        </w:trPr>
        <w:tc>
          <w:tcPr>
            <w:tcW w:w="567" w:type="dxa"/>
            <w:vMerge/>
            <w:tcBorders>
              <w:top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 Курташкинского сельского поселения Атюрьевского муниципального района Республики Мордовия, возникшему по реализации трудовых функций работника в соответствии с трудовым законодательством Российской Федерации, законодательством о муниципальной гражданской службе Республики Мордовия</w:t>
            </w:r>
          </w:p>
        </w:tc>
      </w:tr>
      <w:tr w:rsidR="00786289">
        <w:trPr>
          <w:cantSplit/>
        </w:trPr>
        <w:tc>
          <w:tcPr>
            <w:tcW w:w="567" w:type="dxa"/>
            <w:vMerge w:val="restart"/>
            <w:tcBorders>
              <w:top w:val="single" w:sz="4" w:space="0" w:color="auto"/>
              <w:bottom w:val="single" w:sz="4" w:space="0" w:color="auto"/>
              <w:right w:val="single" w:sz="4" w:space="0" w:color="auto"/>
            </w:tcBorders>
          </w:tcPr>
          <w:p w:rsidR="00786289" w:rsidRDefault="00786289">
            <w:pPr>
              <w:pStyle w:val="ConsPlusNormal"/>
              <w:jc w:val="center"/>
              <w:rPr>
                <w:rFonts w:ascii="Times New Roman" w:hAnsi="Times New Roman" w:cs="Times New Roman"/>
                <w:sz w:val="28"/>
                <w:szCs w:val="28"/>
              </w:rPr>
            </w:pPr>
            <w:r>
              <w:rPr>
                <w:rFonts w:ascii="Times New Roman" w:hAnsi="Times New Roman" w:cs="Times New Roman"/>
                <w:sz w:val="28"/>
                <w:szCs w:val="28"/>
              </w:rPr>
              <w:t>11.</w:t>
            </w:r>
          </w:p>
        </w:tc>
        <w:tc>
          <w:tcPr>
            <w:tcW w:w="4252" w:type="dxa"/>
            <w:vMerge w:val="restart"/>
            <w:tcBorders>
              <w:top w:val="single" w:sz="4" w:space="0" w:color="auto"/>
              <w:left w:val="single" w:sz="4" w:space="0" w:color="auto"/>
              <w:bottom w:val="single" w:sz="4" w:space="0" w:color="auto"/>
              <w:right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Исполнительный документ (исполнительный лист, судебный приказ) (далее - исполнительный документ)</w:t>
            </w: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Бухгалтерская справка (ф. 0504833)</w:t>
            </w:r>
          </w:p>
        </w:tc>
      </w:tr>
      <w:tr w:rsidR="00786289">
        <w:trPr>
          <w:cantSplit/>
        </w:trPr>
        <w:tc>
          <w:tcPr>
            <w:tcW w:w="567" w:type="dxa"/>
            <w:vMerge/>
            <w:tcBorders>
              <w:top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График выплат по исполнительному документу, предусматривающему выплаты периодического характера</w:t>
            </w:r>
          </w:p>
        </w:tc>
      </w:tr>
      <w:tr w:rsidR="00786289">
        <w:trPr>
          <w:cantSplit/>
        </w:trPr>
        <w:tc>
          <w:tcPr>
            <w:tcW w:w="567" w:type="dxa"/>
            <w:vMerge/>
            <w:tcBorders>
              <w:top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Исполнительный документ</w:t>
            </w:r>
          </w:p>
        </w:tc>
      </w:tr>
      <w:tr w:rsidR="00786289">
        <w:trPr>
          <w:cantSplit/>
        </w:trPr>
        <w:tc>
          <w:tcPr>
            <w:tcW w:w="567" w:type="dxa"/>
            <w:vMerge/>
            <w:tcBorders>
              <w:top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 Курташкинского сельского поселения Атюрьевского муниципального района Республики Мордовия, возникшему на основании исполнительного документа</w:t>
            </w:r>
          </w:p>
        </w:tc>
      </w:tr>
      <w:tr w:rsidR="00786289">
        <w:trPr>
          <w:cantSplit/>
        </w:trPr>
        <w:tc>
          <w:tcPr>
            <w:tcW w:w="567" w:type="dxa"/>
            <w:vMerge w:val="restart"/>
            <w:tcBorders>
              <w:top w:val="single" w:sz="4" w:space="0" w:color="auto"/>
              <w:bottom w:val="single" w:sz="4" w:space="0" w:color="auto"/>
              <w:right w:val="single" w:sz="4" w:space="0" w:color="auto"/>
            </w:tcBorders>
          </w:tcPr>
          <w:p w:rsidR="00786289" w:rsidRDefault="00786289">
            <w:pPr>
              <w:pStyle w:val="ConsPlusNormal"/>
              <w:jc w:val="center"/>
              <w:rPr>
                <w:rFonts w:ascii="Times New Roman" w:hAnsi="Times New Roman" w:cs="Times New Roman"/>
                <w:sz w:val="28"/>
                <w:szCs w:val="28"/>
              </w:rPr>
            </w:pPr>
            <w:r>
              <w:rPr>
                <w:rFonts w:ascii="Times New Roman" w:hAnsi="Times New Roman" w:cs="Times New Roman"/>
                <w:sz w:val="28"/>
                <w:szCs w:val="28"/>
              </w:rPr>
              <w:t>12.</w:t>
            </w:r>
          </w:p>
        </w:tc>
        <w:tc>
          <w:tcPr>
            <w:tcW w:w="4252" w:type="dxa"/>
            <w:vMerge w:val="restart"/>
            <w:tcBorders>
              <w:top w:val="single" w:sz="4" w:space="0" w:color="auto"/>
              <w:left w:val="single" w:sz="4" w:space="0" w:color="auto"/>
              <w:bottom w:val="single" w:sz="4" w:space="0" w:color="auto"/>
              <w:right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Решение налогового органа о взыскании налога, сбора, пеней и штрафов (далее - решение налогового органа)</w:t>
            </w: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Бухгалтерская справка (ф. 0504833)</w:t>
            </w:r>
          </w:p>
        </w:tc>
      </w:tr>
      <w:tr w:rsidR="00786289">
        <w:trPr>
          <w:cantSplit/>
        </w:trPr>
        <w:tc>
          <w:tcPr>
            <w:tcW w:w="567" w:type="dxa"/>
            <w:vMerge/>
            <w:tcBorders>
              <w:top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Решение налогового органа</w:t>
            </w:r>
          </w:p>
        </w:tc>
      </w:tr>
      <w:tr w:rsidR="00786289">
        <w:trPr>
          <w:cantSplit/>
        </w:trPr>
        <w:tc>
          <w:tcPr>
            <w:tcW w:w="567" w:type="dxa"/>
            <w:vMerge/>
            <w:tcBorders>
              <w:top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 Курташкинского сельского поселения Атюрьевского муниципального района Республики Мордовия,  возникшему на основании решения налогового органа</w:t>
            </w:r>
          </w:p>
        </w:tc>
      </w:tr>
      <w:tr w:rsidR="00786289">
        <w:trPr>
          <w:cantSplit/>
        </w:trPr>
        <w:tc>
          <w:tcPr>
            <w:tcW w:w="567" w:type="dxa"/>
            <w:vMerge w:val="restart"/>
            <w:tcBorders>
              <w:top w:val="single" w:sz="4" w:space="0" w:color="auto"/>
              <w:bottom w:val="single" w:sz="4" w:space="0" w:color="auto"/>
              <w:right w:val="single" w:sz="4" w:space="0" w:color="auto"/>
            </w:tcBorders>
          </w:tcPr>
          <w:p w:rsidR="00786289" w:rsidRDefault="00786289">
            <w:pPr>
              <w:pStyle w:val="ConsPlusNormal"/>
              <w:jc w:val="center"/>
              <w:rPr>
                <w:rFonts w:ascii="Times New Roman" w:hAnsi="Times New Roman" w:cs="Times New Roman"/>
                <w:sz w:val="28"/>
                <w:szCs w:val="28"/>
              </w:rPr>
            </w:pPr>
            <w:r>
              <w:rPr>
                <w:rFonts w:ascii="Times New Roman" w:hAnsi="Times New Roman" w:cs="Times New Roman"/>
                <w:sz w:val="28"/>
                <w:szCs w:val="28"/>
              </w:rPr>
              <w:t>13.</w:t>
            </w:r>
          </w:p>
        </w:tc>
        <w:tc>
          <w:tcPr>
            <w:tcW w:w="4252" w:type="dxa"/>
            <w:vMerge w:val="restart"/>
            <w:tcBorders>
              <w:top w:val="single" w:sz="4" w:space="0" w:color="auto"/>
              <w:left w:val="single" w:sz="4" w:space="0" w:color="auto"/>
              <w:bottom w:val="single" w:sz="4" w:space="0" w:color="auto"/>
              <w:right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 xml:space="preserve">Документ, не определенный </w:t>
            </w:r>
            <w:hyperlink r:id="rId34" w:history="1">
              <w:r>
                <w:rPr>
                  <w:rStyle w:val="Hyperlink"/>
                  <w:rFonts w:ascii="Times New Roman" w:hAnsi="Times New Roman" w:cs="Times New Roman"/>
                  <w:sz w:val="28"/>
                  <w:szCs w:val="28"/>
                </w:rPr>
                <w:t>пунктами 1</w:t>
              </w:r>
            </w:hyperlink>
            <w:r>
              <w:rPr>
                <w:rFonts w:ascii="Times New Roman" w:hAnsi="Times New Roman" w:cs="Times New Roman"/>
                <w:sz w:val="28"/>
                <w:szCs w:val="28"/>
              </w:rPr>
              <w:t xml:space="preserve"> - </w:t>
            </w:r>
            <w:hyperlink r:id="rId35" w:history="1">
              <w:r>
                <w:rPr>
                  <w:rStyle w:val="Hyperlink"/>
                  <w:rFonts w:ascii="Times New Roman" w:hAnsi="Times New Roman" w:cs="Times New Roman"/>
                  <w:sz w:val="28"/>
                  <w:szCs w:val="28"/>
                </w:rPr>
                <w:t>12</w:t>
              </w:r>
            </w:hyperlink>
            <w:r>
              <w:rPr>
                <w:rFonts w:ascii="Times New Roman" w:hAnsi="Times New Roman" w:cs="Times New Roman"/>
                <w:sz w:val="28"/>
                <w:szCs w:val="28"/>
              </w:rPr>
              <w:t xml:space="preserve"> настоящего перечня, в соответствии с которым возникает бюджетное обязательство получателя средств бюджета Курташкинского сельского поселения Атюрьевского муниципального района Республики Мордовия:</w:t>
            </w:r>
          </w:p>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Курташкинского сельского поселения Атюрьевского муниципального района Республики Мордовия не направлены информация и документы по указанному договору для их включения в реестр контрактов;</w:t>
            </w:r>
          </w:p>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 извещение об осуществлении закупки финансовых услуг по предоставлению кредита для финансирования дефицита бюджета Курташкинского сельского поселения Атюрьевского муниципального района Республики Мордовия и (или) погашения государственных долговых обязательств;</w:t>
            </w:r>
          </w:p>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 приглашение принять участие в определении исполнителя финансовых услуг по предоставлению кредита для финансирования дефицита бюджета Курташкинского сельского поселения Атюрьевского муниципального района Республики Мордовия и (или) погашения государственных долговых обязательств;</w:t>
            </w:r>
          </w:p>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 государственный контракт (договор) на оказание финансовых услуг по предоставлению кредита для финансирования дефицита бюджета Курташкинского сельского поселения Атюрьевского муниципального района Республики Мордовия и (или) погашения государственных долговых обязательств;</w:t>
            </w:r>
          </w:p>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 государственный контракт (договор) на оказание получателям социальных выплат банковских услуг;</w:t>
            </w:r>
          </w:p>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 правовой акт, предусматривающий предоставление из бюджета Курташкинского сельского поселения Атюрьевского муниципального района Республики Мордовия бюджетам муниципальных образований межбюджетного трансферта в форме дотаций на выравнивание бюджетной обеспеченности;</w:t>
            </w:r>
          </w:p>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 правовой акт, предусматривающий предоставление из бюджета Курташкинского сельского поселения Атюрьевского муниципального района Республики Мордовия бюджетам муниципальных образований межбюджетного трансферта в форме субсидий на софинансирование расходных обязательств, возникающих при выполнении полномочий органов местного самоуправления, выплачиваемых в зависимости от выполнения социально-экономических показателей;</w:t>
            </w:r>
          </w:p>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 правовой акт, предусматривающий предоставление из бюджета Курташкинского сельского поселения Атюрьевского муниципального района Республики Мордовия бюджетам муниципальных образований межбюджетного трансферта в форме субвенций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w:t>
            </w:r>
          </w:p>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 правовой акт, предусматривающий предоставление из бюджета Курташкинского сельского поселения Атюрьевского муниципального района Республики Мордовия бюджетам муниципальных образований межбюджетного трансферта в форме субвенций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w:t>
            </w:r>
          </w:p>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 xml:space="preserve">- правовой акт, предусматривающий предоставление из бюджета Курташкинского сельского поселения Атюрьевского муниципального района Республики Мордовия бюджетам муниципальных образований межбюджетного трансферта на софинансирование расходных обязательств; </w:t>
            </w:r>
          </w:p>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 правовой акт, предусматривающий предоставление из бюджета Курташкинского сельского поселения Атюрьевского муниципального района Республики Мордовия бюджетам муниципальных образований межбюджетного трансферта из резервного фонда Главы Курташкинского сельского поселения Атюрьевского муниципального района Республики Мордовия на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 правовой акт, предусматривающий предоставление из бюджета Курташкинского сельского поселения Атюрьевского муниципального района Республики Мордовия денежных средств физическим и юридическим лицам из резервного фонда Главы Курташкинского сельского поселения Атюрьевского муниципального района Республики Мордовия на обеспечение непредвиденных расходов;</w:t>
            </w:r>
          </w:p>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 договор (соглашение) о предоставлении субсидии физическому лицу производителю товаров, работ, услуг, не являющемуся индивидуальным предпринимателем;</w:t>
            </w:r>
          </w:p>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 договор на оказание услуг, выполнение работ, заключенный получателем средств бюджета Курташкинского сельского поселения Атюрьевского муниципального района Республики Мордовия с физическим лицом, не являющимся индивидуальным предпринимателем;</w:t>
            </w:r>
          </w:p>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 xml:space="preserve">- иной документ, в соответствии с которым возникает бюджетное обязательство получателя средств бюджета Курташкинского сельского поселения Атюрьевского муниципального района Республики Мордовия </w:t>
            </w: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Авансовый отчет (ф. 0504505)</w:t>
            </w:r>
          </w:p>
        </w:tc>
      </w:tr>
      <w:tr w:rsidR="00786289">
        <w:trPr>
          <w:cantSplit/>
        </w:trPr>
        <w:tc>
          <w:tcPr>
            <w:tcW w:w="567" w:type="dxa"/>
            <w:vMerge/>
            <w:tcBorders>
              <w:top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Акт выполненных работ</w:t>
            </w:r>
          </w:p>
        </w:tc>
      </w:tr>
      <w:tr w:rsidR="00786289">
        <w:trPr>
          <w:cantSplit/>
        </w:trPr>
        <w:tc>
          <w:tcPr>
            <w:tcW w:w="567" w:type="dxa"/>
            <w:vMerge/>
            <w:tcBorders>
              <w:top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Акт приема-передачи</w:t>
            </w:r>
          </w:p>
        </w:tc>
      </w:tr>
      <w:tr w:rsidR="00786289">
        <w:trPr>
          <w:cantSplit/>
        </w:trPr>
        <w:tc>
          <w:tcPr>
            <w:tcW w:w="567" w:type="dxa"/>
            <w:vMerge/>
            <w:tcBorders>
              <w:top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Акт об оказании услуг</w:t>
            </w:r>
          </w:p>
        </w:tc>
      </w:tr>
      <w:tr w:rsidR="00786289">
        <w:trPr>
          <w:cantSplit/>
        </w:trPr>
        <w:tc>
          <w:tcPr>
            <w:tcW w:w="567" w:type="dxa"/>
            <w:vMerge/>
            <w:tcBorders>
              <w:top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Муниципальный контракт (в случае осуществления авансовых платежей в соответствии с условиями муниципального контракта)</w:t>
            </w:r>
          </w:p>
        </w:tc>
      </w:tr>
      <w:tr w:rsidR="00786289">
        <w:trPr>
          <w:cantSplit/>
        </w:trPr>
        <w:tc>
          <w:tcPr>
            <w:tcW w:w="567" w:type="dxa"/>
            <w:vMerge/>
            <w:tcBorders>
              <w:top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Справка-расчет или иной документ, являющийся основанием для оплаты неустойки</w:t>
            </w:r>
          </w:p>
        </w:tc>
      </w:tr>
      <w:tr w:rsidR="00786289">
        <w:trPr>
          <w:cantSplit/>
        </w:trPr>
        <w:tc>
          <w:tcPr>
            <w:tcW w:w="567" w:type="dxa"/>
            <w:vMerge/>
            <w:tcBorders>
              <w:top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Заявка о перечислении межбюджетного трансферта из бюджета Курташкинского сельского поселения Атюрьевского муниципального района Республики Мордовия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786289">
        <w:trPr>
          <w:cantSplit/>
        </w:trPr>
        <w:tc>
          <w:tcPr>
            <w:tcW w:w="567" w:type="dxa"/>
            <w:vMerge/>
            <w:tcBorders>
              <w:top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786289">
        <w:trPr>
          <w:cantSplit/>
        </w:trPr>
        <w:tc>
          <w:tcPr>
            <w:tcW w:w="567" w:type="dxa"/>
            <w:vMerge/>
            <w:tcBorders>
              <w:top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Заявление на выдачу денежных средств под отчет</w:t>
            </w:r>
          </w:p>
        </w:tc>
      </w:tr>
      <w:tr w:rsidR="00786289">
        <w:trPr>
          <w:cantSplit/>
        </w:trPr>
        <w:tc>
          <w:tcPr>
            <w:tcW w:w="567" w:type="dxa"/>
            <w:vMerge/>
            <w:tcBorders>
              <w:top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Заявление физического лица</w:t>
            </w:r>
          </w:p>
        </w:tc>
      </w:tr>
      <w:tr w:rsidR="00786289">
        <w:trPr>
          <w:cantSplit/>
        </w:trPr>
        <w:tc>
          <w:tcPr>
            <w:tcW w:w="567" w:type="dxa"/>
            <w:vMerge/>
            <w:tcBorders>
              <w:top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Квитанция</w:t>
            </w:r>
          </w:p>
        </w:tc>
      </w:tr>
      <w:tr w:rsidR="00786289">
        <w:trPr>
          <w:cantSplit/>
        </w:trPr>
        <w:tc>
          <w:tcPr>
            <w:tcW w:w="567" w:type="dxa"/>
            <w:vMerge/>
            <w:tcBorders>
              <w:top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Приказ о направлении в командировку, с прилагаемым расчетом командировочных сумм</w:t>
            </w:r>
          </w:p>
        </w:tc>
      </w:tr>
      <w:tr w:rsidR="00786289">
        <w:trPr>
          <w:cantSplit/>
        </w:trPr>
        <w:tc>
          <w:tcPr>
            <w:tcW w:w="567" w:type="dxa"/>
            <w:vMerge/>
            <w:tcBorders>
              <w:top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Служебная записка</w:t>
            </w:r>
          </w:p>
        </w:tc>
      </w:tr>
      <w:tr w:rsidR="00786289">
        <w:trPr>
          <w:cantSplit/>
        </w:trPr>
        <w:tc>
          <w:tcPr>
            <w:tcW w:w="567" w:type="dxa"/>
            <w:vMerge/>
            <w:tcBorders>
              <w:top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Счет</w:t>
            </w:r>
          </w:p>
        </w:tc>
      </w:tr>
      <w:tr w:rsidR="00786289">
        <w:trPr>
          <w:cantSplit/>
        </w:trPr>
        <w:tc>
          <w:tcPr>
            <w:tcW w:w="567" w:type="dxa"/>
            <w:vMerge/>
            <w:tcBorders>
              <w:top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Счет-фактура</w:t>
            </w:r>
          </w:p>
        </w:tc>
      </w:tr>
      <w:tr w:rsidR="00786289">
        <w:trPr>
          <w:cantSplit/>
        </w:trPr>
        <w:tc>
          <w:tcPr>
            <w:tcW w:w="567" w:type="dxa"/>
            <w:vMerge/>
            <w:tcBorders>
              <w:top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Товарная накладная (унифицированная форма N ТОРГ-12) (ф. 0330212)</w:t>
            </w:r>
          </w:p>
        </w:tc>
      </w:tr>
      <w:tr w:rsidR="00786289">
        <w:trPr>
          <w:cantSplit/>
        </w:trPr>
        <w:tc>
          <w:tcPr>
            <w:tcW w:w="567" w:type="dxa"/>
            <w:vMerge/>
            <w:tcBorders>
              <w:top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Универсальный передаточный документ</w:t>
            </w:r>
          </w:p>
        </w:tc>
      </w:tr>
      <w:tr w:rsidR="00786289">
        <w:trPr>
          <w:cantSplit/>
        </w:trPr>
        <w:tc>
          <w:tcPr>
            <w:tcW w:w="567" w:type="dxa"/>
            <w:vMerge/>
            <w:tcBorders>
              <w:top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Чек</w:t>
            </w:r>
          </w:p>
        </w:tc>
      </w:tr>
      <w:tr w:rsidR="00786289">
        <w:trPr>
          <w:cantSplit/>
        </w:trPr>
        <w:tc>
          <w:tcPr>
            <w:tcW w:w="567" w:type="dxa"/>
            <w:vMerge/>
            <w:tcBorders>
              <w:top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Договор на оказание услуг, выполнение работ, заключенный получателем средств бюджета Курташкинского сельского поселения Атюрьевского муниципального района Республики Мордовия с физическим лицом, не являющимся индивидуальным предпринимателем (в случае осуществления авансовых платежей в соответствии с условиями договора)</w:t>
            </w:r>
          </w:p>
        </w:tc>
      </w:tr>
      <w:tr w:rsidR="00786289">
        <w:trPr>
          <w:cantSplit/>
        </w:trPr>
        <w:tc>
          <w:tcPr>
            <w:tcW w:w="567" w:type="dxa"/>
            <w:vMerge/>
            <w:tcBorders>
              <w:top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Отчет о выполнении условий, установленных при предоставлении субсидии физическому лицу производителю товаров, работ, услуг, в соответствии с порядком (правилами) предоставления субсидии;</w:t>
            </w:r>
          </w:p>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реестр платежей к оплате, сформированный в соответствии с порядком (правилами) предоставления субсидии;</w:t>
            </w:r>
          </w:p>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заявка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786289">
        <w:trPr>
          <w:cantSplit/>
          <w:trHeight w:val="3058"/>
        </w:trPr>
        <w:tc>
          <w:tcPr>
            <w:tcW w:w="567" w:type="dxa"/>
            <w:vMerge/>
            <w:tcBorders>
              <w:top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786289" w:rsidRDefault="00786289">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786289" w:rsidRDefault="00786289">
            <w:pPr>
              <w:pStyle w:val="ConsPlusNormal"/>
              <w:rPr>
                <w:rFonts w:ascii="Times New Roman" w:hAnsi="Times New Roman" w:cs="Times New Roman"/>
                <w:sz w:val="28"/>
                <w:szCs w:val="28"/>
              </w:rPr>
            </w:pPr>
            <w:r>
              <w:rPr>
                <w:rFonts w:ascii="Times New Roman" w:hAnsi="Times New Roman" w:cs="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бюджета Курташкинского сельского поселения Атюрьевского муниципального района Республики Мордовия </w:t>
            </w:r>
          </w:p>
        </w:tc>
      </w:tr>
    </w:tbl>
    <w:p w:rsidR="00786289" w:rsidRDefault="00786289">
      <w:pPr>
        <w:rPr>
          <w:rFonts w:ascii="Times New Roman" w:hAnsi="Times New Roman" w:cs="Times New Roman"/>
          <w:sz w:val="28"/>
          <w:szCs w:val="28"/>
        </w:rPr>
      </w:pPr>
    </w:p>
    <w:p w:rsidR="00786289" w:rsidRDefault="00786289">
      <w:pPr>
        <w:pStyle w:val="ConsPlusNormal"/>
        <w:jc w:val="both"/>
      </w:pPr>
    </w:p>
    <w:sectPr w:rsidR="00786289" w:rsidSect="00786289">
      <w:type w:val="oddPage"/>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6289" w:rsidRDefault="00786289">
      <w:pPr>
        <w:spacing w:after="0" w:line="240" w:lineRule="auto"/>
      </w:pPr>
      <w:r>
        <w:separator/>
      </w:r>
    </w:p>
  </w:endnote>
  <w:endnote w:type="continuationSeparator" w:id="0">
    <w:p w:rsidR="00786289" w:rsidRDefault="0078628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6289" w:rsidRDefault="00786289">
      <w:pPr>
        <w:spacing w:after="0" w:line="240" w:lineRule="auto"/>
      </w:pPr>
      <w:r>
        <w:separator/>
      </w:r>
    </w:p>
  </w:footnote>
  <w:footnote w:type="continuationSeparator" w:id="0">
    <w:p w:rsidR="00786289" w:rsidRDefault="0078628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6289" w:rsidRDefault="00786289">
    <w:pPr>
      <w:pStyle w:val="Header"/>
      <w:jc w:val="center"/>
    </w:pPr>
  </w:p>
  <w:p w:rsidR="00786289" w:rsidRDefault="0078628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998207D"/>
    <w:multiLevelType w:val="multilevel"/>
    <w:tmpl w:val="09127480"/>
    <w:lvl w:ilvl="0">
      <w:start w:val="1"/>
      <w:numFmt w:val="decimal"/>
      <w:lvlText w:val="%1."/>
      <w:lvlJc w:val="left"/>
      <w:pPr>
        <w:tabs>
          <w:tab w:val="num" w:pos="720"/>
        </w:tabs>
        <w:ind w:left="720" w:hanging="360"/>
      </w:pPr>
      <w:rPr>
        <w:rFonts w:ascii="Times New Roman" w:hAnsi="Times New Roman" w:cs="Times New Roman"/>
      </w:rPr>
    </w:lvl>
    <w:lvl w:ilvl="1">
      <w:start w:val="1"/>
      <w:numFmt w:val="decimal"/>
      <w:lvlText w:val="%2."/>
      <w:lvlJc w:val="left"/>
      <w:pPr>
        <w:tabs>
          <w:tab w:val="num" w:pos="1440"/>
        </w:tabs>
        <w:ind w:left="1440" w:hanging="360"/>
      </w:pPr>
      <w:rPr>
        <w:rFonts w:ascii="Times New Roman" w:hAnsi="Times New Roman" w:cs="Times New Roman"/>
      </w:rPr>
    </w:lvl>
    <w:lvl w:ilvl="2">
      <w:start w:val="1"/>
      <w:numFmt w:val="decimal"/>
      <w:lvlText w:val="%3."/>
      <w:lvlJc w:val="left"/>
      <w:pPr>
        <w:tabs>
          <w:tab w:val="num" w:pos="2160"/>
        </w:tabs>
        <w:ind w:left="2160" w:hanging="36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decimal"/>
      <w:lvlText w:val="%5."/>
      <w:lvlJc w:val="left"/>
      <w:pPr>
        <w:tabs>
          <w:tab w:val="num" w:pos="3600"/>
        </w:tabs>
        <w:ind w:left="3600" w:hanging="360"/>
      </w:pPr>
      <w:rPr>
        <w:rFonts w:ascii="Times New Roman" w:hAnsi="Times New Roman" w:cs="Times New Roman"/>
      </w:rPr>
    </w:lvl>
    <w:lvl w:ilvl="5">
      <w:start w:val="1"/>
      <w:numFmt w:val="decimal"/>
      <w:lvlText w:val="%6."/>
      <w:lvlJc w:val="left"/>
      <w:pPr>
        <w:tabs>
          <w:tab w:val="num" w:pos="4320"/>
        </w:tabs>
        <w:ind w:left="4320" w:hanging="36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decimal"/>
      <w:lvlText w:val="%8."/>
      <w:lvlJc w:val="left"/>
      <w:pPr>
        <w:tabs>
          <w:tab w:val="num" w:pos="5760"/>
        </w:tabs>
        <w:ind w:left="5760" w:hanging="360"/>
      </w:pPr>
      <w:rPr>
        <w:rFonts w:ascii="Times New Roman" w:hAnsi="Times New Roman" w:cs="Times New Roman"/>
      </w:rPr>
    </w:lvl>
    <w:lvl w:ilvl="8">
      <w:start w:val="1"/>
      <w:numFmt w:val="decimal"/>
      <w:lvlText w:val="%9."/>
      <w:lvlJc w:val="left"/>
      <w:pPr>
        <w:tabs>
          <w:tab w:val="num" w:pos="6480"/>
        </w:tabs>
        <w:ind w:left="6480" w:hanging="360"/>
      </w:pPr>
      <w:rPr>
        <w:rFonts w:ascii="Times New Roman" w:hAnsi="Times New Roman"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6289"/>
    <w:rsid w:val="0078628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ascii="Calibri" w:hAnsi="Calibri" w:cs="Calibri"/>
      <w:lang w:eastAsia="en-US"/>
    </w:rPr>
  </w:style>
  <w:style w:type="paragraph" w:styleId="Heading1">
    <w:name w:val="heading 1"/>
    <w:basedOn w:val="Normal"/>
    <w:next w:val="Normal"/>
    <w:link w:val="Heading1Char"/>
    <w:uiPriority w:val="99"/>
    <w:qFormat/>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DefaultParagraphFont">
    <w:name w:val="Default Paragraph Font"/>
    <w:uiPriority w:val="99"/>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Pr>
      <w:rFonts w:ascii="Arial" w:hAnsi="Arial" w:cs="Arial"/>
      <w:b/>
      <w:bCs/>
      <w:color w:val="000080"/>
      <w:sz w:val="20"/>
      <w:szCs w:val="20"/>
      <w:lang w:eastAsia="ru-RU"/>
    </w:rPr>
  </w:style>
  <w:style w:type="paragraph" w:customStyle="1" w:styleId="ConsPlusNormal">
    <w:name w:val="ConsPlusNormal"/>
    <w:uiPriority w:val="99"/>
    <w:pPr>
      <w:widowControl w:val="0"/>
      <w:autoSpaceDE w:val="0"/>
      <w:autoSpaceDN w:val="0"/>
    </w:pPr>
    <w:rPr>
      <w:rFonts w:ascii="Calibri" w:hAnsi="Calibri" w:cs="Calibri"/>
    </w:rPr>
  </w:style>
  <w:style w:type="paragraph" w:customStyle="1" w:styleId="ConsPlusTitle">
    <w:name w:val="ConsPlusTitle"/>
    <w:uiPriority w:val="99"/>
    <w:pPr>
      <w:widowControl w:val="0"/>
      <w:autoSpaceDE w:val="0"/>
      <w:autoSpaceDN w:val="0"/>
    </w:pPr>
    <w:rPr>
      <w:rFonts w:ascii="Calibri" w:hAnsi="Calibri" w:cs="Calibri"/>
      <w:b/>
      <w:bCs/>
    </w:rPr>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paragraph" w:styleId="BodyText">
    <w:name w:val="Body Text"/>
    <w:basedOn w:val="Normal"/>
    <w:link w:val="BodyTextChar"/>
    <w:uiPriority w:val="99"/>
    <w:pPr>
      <w:tabs>
        <w:tab w:val="left" w:pos="0"/>
      </w:tabs>
      <w:spacing w:line="360" w:lineRule="auto"/>
      <w:ind w:right="360"/>
      <w:jc w:val="center"/>
    </w:pPr>
    <w:rPr>
      <w:b/>
      <w:bCs/>
      <w:sz w:val="32"/>
      <w:szCs w:val="32"/>
    </w:rPr>
  </w:style>
  <w:style w:type="character" w:customStyle="1" w:styleId="BodyTextChar">
    <w:name w:val="Body Text Char"/>
    <w:basedOn w:val="DefaultParagraphFont"/>
    <w:link w:val="BodyText"/>
    <w:uiPriority w:val="99"/>
    <w:rPr>
      <w:rFonts w:ascii="Calibri" w:hAnsi="Calibri" w:cs="Calibri"/>
      <w:lang w:eastAsia="en-US"/>
    </w:rPr>
  </w:style>
  <w:style w:type="paragraph" w:customStyle="1" w:styleId="ConsPlusNonformat">
    <w:name w:val="ConsPlusNonformat"/>
    <w:uiPriority w:val="99"/>
    <w:pPr>
      <w:widowControl w:val="0"/>
      <w:autoSpaceDE w:val="0"/>
      <w:autoSpaceDN w:val="0"/>
    </w:pPr>
    <w:rPr>
      <w:rFonts w:ascii="Courier New" w:hAnsi="Courier New" w:cs="Courier New"/>
      <w:sz w:val="20"/>
      <w:szCs w:val="20"/>
    </w:rPr>
  </w:style>
  <w:style w:type="paragraph" w:customStyle="1" w:styleId="ConsPlusCell">
    <w:name w:val="ConsPlusCell"/>
    <w:uiPriority w:val="99"/>
    <w:pPr>
      <w:widowControl w:val="0"/>
      <w:autoSpaceDE w:val="0"/>
      <w:autoSpaceDN w:val="0"/>
    </w:pPr>
    <w:rPr>
      <w:rFonts w:ascii="Courier New" w:hAnsi="Courier New" w:cs="Courier New"/>
      <w:sz w:val="20"/>
      <w:szCs w:val="20"/>
    </w:rPr>
  </w:style>
  <w:style w:type="paragraph" w:customStyle="1" w:styleId="ConsPlusDocList">
    <w:name w:val="ConsPlusDocList"/>
    <w:uiPriority w:val="99"/>
    <w:pPr>
      <w:widowControl w:val="0"/>
      <w:autoSpaceDE w:val="0"/>
      <w:autoSpaceDN w:val="0"/>
    </w:pPr>
    <w:rPr>
      <w:rFonts w:ascii="Courier New" w:hAnsi="Courier New" w:cs="Courier New"/>
      <w:sz w:val="20"/>
      <w:szCs w:val="20"/>
    </w:rPr>
  </w:style>
  <w:style w:type="paragraph" w:customStyle="1" w:styleId="ConsPlusTitlePage">
    <w:name w:val="ConsPlusTitlePage"/>
    <w:uiPriority w:val="99"/>
    <w:pPr>
      <w:widowControl w:val="0"/>
      <w:autoSpaceDE w:val="0"/>
      <w:autoSpaceDN w:val="0"/>
    </w:pPr>
    <w:rPr>
      <w:rFonts w:ascii="Tahoma" w:hAnsi="Tahoma" w:cs="Tahoma"/>
      <w:sz w:val="20"/>
      <w:szCs w:val="20"/>
    </w:rPr>
  </w:style>
  <w:style w:type="paragraph" w:customStyle="1" w:styleId="ConsPlusJurTerm">
    <w:name w:val="ConsPlusJurTerm"/>
    <w:uiPriority w:val="99"/>
    <w:pPr>
      <w:widowControl w:val="0"/>
      <w:autoSpaceDE w:val="0"/>
      <w:autoSpaceDN w:val="0"/>
    </w:pPr>
    <w:rPr>
      <w:rFonts w:ascii="Tahoma" w:hAnsi="Tahoma" w:cs="Tahoma"/>
      <w:sz w:val="26"/>
      <w:szCs w:val="26"/>
    </w:rPr>
  </w:style>
  <w:style w:type="paragraph" w:customStyle="1" w:styleId="ConsPlusTextList">
    <w:name w:val="ConsPlusTextList"/>
    <w:uiPriority w:val="99"/>
    <w:pPr>
      <w:widowControl w:val="0"/>
      <w:autoSpaceDE w:val="0"/>
      <w:autoSpaceDN w:val="0"/>
    </w:pPr>
    <w:rPr>
      <w:rFonts w:ascii="Arial" w:hAnsi="Arial" w:cs="Arial"/>
      <w:sz w:val="20"/>
      <w:szCs w:val="20"/>
    </w:rPr>
  </w:style>
  <w:style w:type="character" w:customStyle="1" w:styleId="Heading1Char1">
    <w:name w:val="Heading 1 Char1"/>
    <w:basedOn w:val="DefaultParagraphFont"/>
    <w:uiPriority w:val="99"/>
    <w:rPr>
      <w:rFonts w:ascii="Arial" w:hAnsi="Arial" w:cs="Arial"/>
      <w:b/>
      <w:bCs/>
      <w:color w:val="000080"/>
      <w:lang w:val="ru-RU" w:eastAsia="ru-RU"/>
    </w:rPr>
  </w:style>
  <w:style w:type="paragraph" w:customStyle="1" w:styleId="a">
    <w:name w:val="Знак"/>
    <w:basedOn w:val="Normal"/>
    <w:uiPriority w:val="99"/>
    <w:pPr>
      <w:spacing w:after="0" w:line="240" w:lineRule="auto"/>
    </w:pPr>
    <w:rPr>
      <w:rFonts w:ascii="Verdana" w:hAnsi="Verdana" w:cs="Verdana"/>
      <w:sz w:val="20"/>
      <w:szCs w:val="20"/>
      <w:lang w:val="en-US"/>
    </w:rPr>
  </w:style>
  <w:style w:type="paragraph" w:customStyle="1" w:styleId="1">
    <w:name w:val="Знак1 Знак Знак Знак Знак Знак Знак Знак Знак Знак"/>
    <w:basedOn w:val="Normal"/>
    <w:next w:val="Normal"/>
    <w:uiPriority w:val="99"/>
    <w:pPr>
      <w:spacing w:after="160" w:line="240" w:lineRule="exact"/>
    </w:pPr>
    <w:rPr>
      <w:rFonts w:ascii="Arial" w:hAnsi="Arial" w:cs="Arial"/>
      <w:sz w:val="20"/>
      <w:szCs w:val="20"/>
      <w:lang w:val="en-US"/>
    </w:rPr>
  </w:style>
  <w:style w:type="paragraph" w:styleId="Header">
    <w:name w:val="header"/>
    <w:basedOn w:val="Normal"/>
    <w:link w:val="HeaderChar"/>
    <w:uiPriority w:val="99"/>
    <w:pPr>
      <w:tabs>
        <w:tab w:val="center" w:pos="4677"/>
        <w:tab w:val="right" w:pos="9355"/>
      </w:tabs>
      <w:spacing w:after="0" w:line="240" w:lineRule="auto"/>
    </w:pPr>
  </w:style>
  <w:style w:type="character" w:customStyle="1" w:styleId="HeaderChar">
    <w:name w:val="Header Char"/>
    <w:basedOn w:val="DefaultParagraphFont"/>
    <w:link w:val="Header"/>
    <w:uiPriority w:val="99"/>
    <w:rPr>
      <w:rFonts w:ascii="Calibri" w:hAnsi="Calibri" w:cs="Calibri"/>
      <w:lang w:eastAsia="en-US"/>
    </w:rPr>
  </w:style>
  <w:style w:type="paragraph" w:styleId="Footer">
    <w:name w:val="footer"/>
    <w:basedOn w:val="Normal"/>
    <w:link w:val="FooterChar"/>
    <w:uiPriority w:val="99"/>
    <w:pPr>
      <w:tabs>
        <w:tab w:val="center" w:pos="4677"/>
        <w:tab w:val="right" w:pos="9355"/>
      </w:tabs>
      <w:spacing w:after="0" w:line="240" w:lineRule="auto"/>
    </w:pPr>
  </w:style>
  <w:style w:type="character" w:customStyle="1" w:styleId="FooterChar">
    <w:name w:val="Footer Char"/>
    <w:basedOn w:val="DefaultParagraphFont"/>
    <w:link w:val="Footer"/>
    <w:uiPriority w:val="99"/>
    <w:rPr>
      <w:rFonts w:ascii="Calibri" w:hAnsi="Calibri" w:cs="Calibri"/>
      <w:lang w:eastAsia="en-US"/>
    </w:rPr>
  </w:style>
  <w:style w:type="character" w:styleId="Hyperlink">
    <w:name w:val="Hyperlink"/>
    <w:basedOn w:val="DefaultParagraphFont"/>
    <w:uiPriority w:val="99"/>
    <w:rPr>
      <w:color w:val="0000FF"/>
      <w:u w:val="single"/>
    </w:rPr>
  </w:style>
  <w:style w:type="character" w:styleId="FollowedHyperlink">
    <w:name w:val="FollowedHyperlink"/>
    <w:basedOn w:val="DefaultParagraphFont"/>
    <w:uiPriority w:val="99"/>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5E5D5B855E5667ABADA1304C1321E2420B0B811E6EE484C0FBA38126D1BA52D84B34AAF5FC913U4L" TargetMode="External"/><Relationship Id="rId13" Type="http://schemas.openxmlformats.org/officeDocument/2006/relationships/hyperlink" Target="consultantplus://offline/ref=95E5D5B855E5667ABADA1304C1321E2421B8BA14EFE8484C0FBA38126D1BA52D84B34AAC5AC0331D1BU2L" TargetMode="External"/><Relationship Id="rId18" Type="http://schemas.openxmlformats.org/officeDocument/2006/relationships/hyperlink" Target="consultantplus://offline/ref=95E5D5B855E5667ABADA1304C1321E2421B8BA14EFE8484C0FBA38126D1BA52D84B34AAC5AC032141BU1L" TargetMode="External"/><Relationship Id="rId26" Type="http://schemas.openxmlformats.org/officeDocument/2006/relationships/hyperlink" Target="consultantplus://offline/ref=95E5D5B855E5667ABADA1304C1321E2421B8B511EBE8484C0FBA38126D1BA52D84B34AAC5AC03A141BU7L" TargetMode="External"/><Relationship Id="rId3" Type="http://schemas.openxmlformats.org/officeDocument/2006/relationships/settings" Target="settings.xml"/><Relationship Id="rId21" Type="http://schemas.openxmlformats.org/officeDocument/2006/relationships/hyperlink" Target="consultantplus://offline/ref=95E5D5B855E5667ABADA1304C1321E2421B8B511EBE8484C0FBA38126D1BA52D84B34AAC5AC03A141BU7L" TargetMode="External"/><Relationship Id="rId34" Type="http://schemas.openxmlformats.org/officeDocument/2006/relationships/hyperlink" Target="D:&#1053;&#1055;&#1040;&#1055;&#1086;&#1089;&#1090;&#1072;&#1085;&#1086;&#1074;&#1083;&#1077;&#1085;&#1080;&#1103;%202018%22%20l%20" TargetMode="External"/><Relationship Id="rId7" Type="http://schemas.openxmlformats.org/officeDocument/2006/relationships/hyperlink" Target="consultantplus://offline/ref=8DECB31281443523EA2F87C12FD6AD603048002E6C39D01A208A08A23EEA4D0DF4D1988950ECa4U5F" TargetMode="External"/><Relationship Id="rId12" Type="http://schemas.openxmlformats.org/officeDocument/2006/relationships/hyperlink" Target="consultantplus://offline/ref=95E5D5B855E5667ABADA1304C1321E2421B9BF14EAE4484C0FBA38126D11UBL" TargetMode="External"/><Relationship Id="rId17" Type="http://schemas.openxmlformats.org/officeDocument/2006/relationships/hyperlink" Target="consultantplus://offline/ref=95E5D5B855E5667ABADA1304C1321E2421B9BF14EAE4484C0FBA38126D11UBL" TargetMode="External"/><Relationship Id="rId25" Type="http://schemas.openxmlformats.org/officeDocument/2006/relationships/hyperlink" Target="consultantplus://offline/ref=95E5D5B855E5667ABADA1304C1321E2422B5BC17EDE8484C0FBA38126D11UBL" TargetMode="External"/><Relationship Id="rId33" Type="http://schemas.openxmlformats.org/officeDocument/2006/relationships/hyperlink" Target="D:&#1053;&#1055;&#1040;&#1055;&#1086;&#1089;&#1090;&#1072;&#1085;&#1086;&#1074;&#1083;&#1077;&#1085;&#1080;&#1103;%202018%22%20l%20" TargetMode="External"/><Relationship Id="rId2" Type="http://schemas.openxmlformats.org/officeDocument/2006/relationships/styles" Target="styles.xml"/><Relationship Id="rId16" Type="http://schemas.openxmlformats.org/officeDocument/2006/relationships/hyperlink" Target="consultantplus://offline/ref=95E5D5B855E5667ABADA1304C1321E2421B9BF14EAE4484C0FBA38126D11UBL" TargetMode="External"/><Relationship Id="rId20" Type="http://schemas.openxmlformats.org/officeDocument/2006/relationships/hyperlink" Target="consultantplus://offline/ref=95E5D5B855E5667ABADA1304C1321E2421B9BF14EAE4484C0FBA38126D11UBL" TargetMode="External"/><Relationship Id="rId29" Type="http://schemas.openxmlformats.org/officeDocument/2006/relationships/hyperlink" Target="D:&#1053;&#1055;&#1040;&#1055;&#1086;&#1089;&#1090;&#1072;&#1085;&#1086;&#1074;&#1083;&#1077;&#1085;&#1080;&#1103;%202018%22%20l%2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95E5D5B855E5667ABADA1304C1321E2421B0B818EEEE484C0FBA38126D1BA52D84B34AAC5AC133171BU0L" TargetMode="External"/><Relationship Id="rId24" Type="http://schemas.openxmlformats.org/officeDocument/2006/relationships/hyperlink" Target="consultantplus://offline/ref=95E5D5B855E5667ABADA1304C1321E2421B9BF14EAE4484C0FBA38126D11UBL" TargetMode="External"/><Relationship Id="rId32" Type="http://schemas.openxmlformats.org/officeDocument/2006/relationships/hyperlink" Target="D:&#1053;&#1055;&#1040;&#1055;&#1086;&#1089;&#1090;&#1072;&#1085;&#1086;&#1074;&#1083;&#1077;&#1085;&#1080;&#1103;%202018%22%20l%20"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consultantplus://offline/ref=95E5D5B855E5667ABADA1304C1321E2421B8BA14EFE8484C0FBA38126D1BA52D84B34AA9521CU2L" TargetMode="External"/><Relationship Id="rId23" Type="http://schemas.openxmlformats.org/officeDocument/2006/relationships/header" Target="header1.xml"/><Relationship Id="rId28" Type="http://schemas.openxmlformats.org/officeDocument/2006/relationships/hyperlink" Target="D:&#1053;&#1055;&#1040;&#1055;&#1086;&#1089;&#1090;&#1072;&#1085;&#1086;&#1074;&#1083;&#1077;&#1085;&#1080;&#1103;%202018%22%20l%20" TargetMode="External"/><Relationship Id="rId36" Type="http://schemas.openxmlformats.org/officeDocument/2006/relationships/fontTable" Target="fontTable.xml"/><Relationship Id="rId10" Type="http://schemas.openxmlformats.org/officeDocument/2006/relationships/hyperlink" Target="consultantplus://offline/ref=95E5D5B855E5667ABADA1304C1321E2421B9BF14EAE4484C0FBA38126D11UBL" TargetMode="External"/><Relationship Id="rId19" Type="http://schemas.openxmlformats.org/officeDocument/2006/relationships/hyperlink" Target="consultantplus://offline/ref=95E5D5B855E5667ABADA1304C1321E2421B9BF14EAE4484C0FBA38126D11UBL" TargetMode="External"/><Relationship Id="rId31" Type="http://schemas.openxmlformats.org/officeDocument/2006/relationships/hyperlink" Target="D:&#1053;&#1055;&#1040;&#1055;&#1086;&#1089;&#1090;&#1072;&#1085;&#1086;&#1074;&#1083;&#1077;&#1085;&#1080;&#1103;%202018%22%20l%20" TargetMode="External"/><Relationship Id="rId4" Type="http://schemas.openxmlformats.org/officeDocument/2006/relationships/webSettings" Target="webSettings.xml"/><Relationship Id="rId9" Type="http://schemas.openxmlformats.org/officeDocument/2006/relationships/hyperlink" Target="consultantplus://offline/ref=95E5D5B855E5667ABADA1304C1321E2421B9BF14EAE4484C0FBA38126D11UBL" TargetMode="External"/><Relationship Id="rId14" Type="http://schemas.openxmlformats.org/officeDocument/2006/relationships/hyperlink" Target="consultantplus://offline/ref=95E5D5B855E5667ABADA1304C1321E2421B9BF14EAE4484C0FBA38126D11UBL" TargetMode="External"/><Relationship Id="rId22" Type="http://schemas.openxmlformats.org/officeDocument/2006/relationships/hyperlink" Target="consultantplus://offline/ref=95E5D5B855E5667ABADA1304C1321E2420B0BF17E8E9484C0FBA38126D11UBL" TargetMode="External"/><Relationship Id="rId27" Type="http://schemas.openxmlformats.org/officeDocument/2006/relationships/hyperlink" Target="consultantplus://offline/ref=95E5D5B855E5667ABADA1304C1321E2420B0BF17E8E9484C0FBA38126D11UBL" TargetMode="External"/><Relationship Id="rId30" Type="http://schemas.openxmlformats.org/officeDocument/2006/relationships/hyperlink" Target="D:&#1053;&#1055;&#1040;&#1055;&#1086;&#1089;&#1090;&#1072;&#1085;&#1086;&#1074;&#1083;&#1077;&#1085;&#1080;&#1103;%202018%22%20l%20" TargetMode="External"/><Relationship Id="rId35" Type="http://schemas.openxmlformats.org/officeDocument/2006/relationships/hyperlink" Target="D:&#1053;&#1055;&#1040;&#1055;&#1086;&#1089;&#1090;&#1072;&#1085;&#1086;&#1074;&#1083;&#1077;&#1085;&#1080;&#1103;%202018%22%20l%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TotalTime>
  <Pages>30</Pages>
  <Words>10368</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                                    АДМИНИСТРАЦИЯ                                                 КУРТАШКИН</dc:title>
  <dc:subject/>
  <dc:creator>Антон Здоров</dc:creator>
  <cp:keywords/>
  <dc:description/>
  <cp:lastModifiedBy>1</cp:lastModifiedBy>
  <cp:revision>5</cp:revision>
  <cp:lastPrinted>2019-01-15T01:12:00Z</cp:lastPrinted>
  <dcterms:created xsi:type="dcterms:W3CDTF">2019-01-14T13:22:00Z</dcterms:created>
  <dcterms:modified xsi:type="dcterms:W3CDTF">2019-02-02T19:02:00Z</dcterms:modified>
</cp:coreProperties>
</file>